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5ABAB" w14:textId="77777777" w:rsidR="00FD1ACC" w:rsidRDefault="00FD1ACC" w:rsidP="00FD1ACC">
      <w:pPr>
        <w:ind w:left="426"/>
      </w:pPr>
    </w:p>
    <w:p w14:paraId="44578D1F" w14:textId="77777777" w:rsidR="00FD1ACC" w:rsidRDefault="00FD1ACC" w:rsidP="00FD1ACC">
      <w:pPr>
        <w:ind w:left="426"/>
      </w:pPr>
    </w:p>
    <w:p w14:paraId="6DCDBB78" w14:textId="77777777" w:rsidR="00FD1ACC" w:rsidRPr="001F305F" w:rsidRDefault="001F305F" w:rsidP="001F305F">
      <w:pPr>
        <w:rPr>
          <w:b/>
          <w:sz w:val="48"/>
          <w:szCs w:val="48"/>
          <w:u w:val="single"/>
        </w:rPr>
      </w:pPr>
      <w:r w:rsidRPr="001F305F">
        <w:rPr>
          <w:b/>
          <w:sz w:val="48"/>
          <w:szCs w:val="48"/>
          <w:u w:val="single"/>
        </w:rPr>
        <w:t>Mall för kappa</w:t>
      </w:r>
    </w:p>
    <w:p w14:paraId="089DE94D" w14:textId="77777777" w:rsidR="001F305F" w:rsidRPr="00E448E0" w:rsidRDefault="001F305F" w:rsidP="001F305F">
      <w:pPr>
        <w:rPr>
          <w:b/>
          <w:sz w:val="40"/>
          <w:szCs w:val="40"/>
          <w:u w:val="single"/>
        </w:rPr>
      </w:pPr>
    </w:p>
    <w:p w14:paraId="2D0BE872" w14:textId="7DAD7C30" w:rsidR="00FD1ACC" w:rsidRPr="00E448E0" w:rsidRDefault="00FD116E" w:rsidP="0024581D">
      <w:pPr>
        <w:rPr>
          <w:b/>
          <w:sz w:val="40"/>
          <w:szCs w:val="40"/>
          <w:u w:val="single"/>
        </w:rPr>
      </w:pPr>
      <w:r w:rsidRPr="00E448E0">
        <w:rPr>
          <w:b/>
          <w:sz w:val="40"/>
          <w:szCs w:val="40"/>
          <w:highlight w:val="yellow"/>
          <w:u w:val="single"/>
        </w:rPr>
        <w:t xml:space="preserve">Denna sida ersätts med </w:t>
      </w:r>
      <w:r w:rsidR="004A5E01">
        <w:rPr>
          <w:b/>
          <w:sz w:val="40"/>
          <w:szCs w:val="40"/>
          <w:highlight w:val="yellow"/>
          <w:u w:val="single"/>
        </w:rPr>
        <w:t>”Information for the printer”</w:t>
      </w:r>
      <w:r w:rsidRPr="00E448E0">
        <w:rPr>
          <w:b/>
          <w:sz w:val="40"/>
          <w:szCs w:val="40"/>
          <w:highlight w:val="yellow"/>
          <w:u w:val="single"/>
        </w:rPr>
        <w:t>, se särskild blankett.</w:t>
      </w:r>
      <w:r w:rsidRPr="00E448E0">
        <w:rPr>
          <w:b/>
          <w:sz w:val="40"/>
          <w:szCs w:val="40"/>
          <w:u w:val="single"/>
        </w:rPr>
        <w:t xml:space="preserve"> </w:t>
      </w:r>
    </w:p>
    <w:p w14:paraId="3CE11D1B" w14:textId="77777777" w:rsidR="004C6F6D" w:rsidRPr="00FD116E" w:rsidRDefault="004C6F6D" w:rsidP="008F78DC">
      <w:pPr>
        <w:pStyle w:val="Secondpagetext"/>
        <w:rPr>
          <w:i/>
          <w:highlight w:val="yellow"/>
          <w:lang w:val="sv-SE"/>
        </w:rPr>
      </w:pPr>
    </w:p>
    <w:p w14:paraId="2326576C" w14:textId="77777777" w:rsidR="004C6F6D" w:rsidRPr="00FD116E" w:rsidRDefault="004C6F6D" w:rsidP="008F78DC">
      <w:pPr>
        <w:pStyle w:val="Secondpagetext"/>
        <w:rPr>
          <w:i/>
          <w:highlight w:val="yellow"/>
          <w:lang w:val="sv-SE"/>
        </w:rPr>
      </w:pPr>
    </w:p>
    <w:p w14:paraId="10F49012" w14:textId="77777777" w:rsidR="004C6F6D" w:rsidRPr="00FD116E" w:rsidRDefault="004C6F6D" w:rsidP="008F78DC">
      <w:pPr>
        <w:pStyle w:val="Secondpagetext"/>
        <w:rPr>
          <w:i/>
          <w:highlight w:val="yellow"/>
          <w:lang w:val="sv-SE"/>
        </w:rPr>
      </w:pPr>
    </w:p>
    <w:p w14:paraId="1147C11B" w14:textId="77777777" w:rsidR="004C6F6D" w:rsidRPr="00FD116E" w:rsidRDefault="004C6F6D" w:rsidP="008F78DC">
      <w:pPr>
        <w:pStyle w:val="Secondpagetext"/>
        <w:rPr>
          <w:i/>
          <w:highlight w:val="yellow"/>
          <w:lang w:val="sv-SE"/>
        </w:rPr>
      </w:pPr>
    </w:p>
    <w:p w14:paraId="08C7F5FD" w14:textId="77777777" w:rsidR="004C6F6D" w:rsidRPr="00FD116E" w:rsidRDefault="004C6F6D" w:rsidP="008F78DC">
      <w:pPr>
        <w:pStyle w:val="Secondpagetext"/>
        <w:rPr>
          <w:i/>
          <w:highlight w:val="yellow"/>
          <w:lang w:val="sv-SE"/>
        </w:rPr>
      </w:pPr>
    </w:p>
    <w:p w14:paraId="7A34A1D4" w14:textId="77777777" w:rsidR="004C6F6D" w:rsidRPr="00FD116E" w:rsidRDefault="004C6F6D" w:rsidP="008F78DC">
      <w:pPr>
        <w:pStyle w:val="Secondpagetext"/>
        <w:rPr>
          <w:i/>
          <w:highlight w:val="yellow"/>
          <w:lang w:val="sv-SE"/>
        </w:rPr>
      </w:pPr>
    </w:p>
    <w:p w14:paraId="503147B0" w14:textId="77777777" w:rsidR="004C6F6D" w:rsidRPr="00FD116E" w:rsidRDefault="004C6F6D" w:rsidP="008F78DC">
      <w:pPr>
        <w:pStyle w:val="Secondpagetext"/>
        <w:rPr>
          <w:i/>
          <w:highlight w:val="yellow"/>
          <w:lang w:val="sv-SE"/>
        </w:rPr>
      </w:pPr>
    </w:p>
    <w:p w14:paraId="0D980694" w14:textId="77777777" w:rsidR="004C6F6D" w:rsidRPr="00FD116E" w:rsidRDefault="004C6F6D" w:rsidP="008F78DC">
      <w:pPr>
        <w:pStyle w:val="Secondpagetext"/>
        <w:rPr>
          <w:i/>
          <w:highlight w:val="yellow"/>
          <w:lang w:val="sv-SE"/>
        </w:rPr>
      </w:pPr>
    </w:p>
    <w:p w14:paraId="1C4114DD" w14:textId="77777777" w:rsidR="004C6F6D" w:rsidRPr="00FD116E" w:rsidRDefault="004C6F6D" w:rsidP="008F78DC">
      <w:pPr>
        <w:pStyle w:val="Secondpagetext"/>
        <w:rPr>
          <w:i/>
          <w:highlight w:val="yellow"/>
          <w:lang w:val="sv-SE"/>
        </w:rPr>
      </w:pPr>
    </w:p>
    <w:p w14:paraId="07CA2580" w14:textId="77777777" w:rsidR="004C6F6D" w:rsidRPr="00FD116E" w:rsidRDefault="004C6F6D" w:rsidP="008F78DC">
      <w:pPr>
        <w:pStyle w:val="Secondpagetext"/>
        <w:rPr>
          <w:i/>
          <w:highlight w:val="yellow"/>
          <w:lang w:val="sv-SE"/>
        </w:rPr>
      </w:pPr>
    </w:p>
    <w:p w14:paraId="710D505A" w14:textId="77777777" w:rsidR="004C6F6D" w:rsidRPr="00FD116E" w:rsidRDefault="004C6F6D" w:rsidP="008F78DC">
      <w:pPr>
        <w:pStyle w:val="Secondpagetext"/>
        <w:rPr>
          <w:i/>
          <w:highlight w:val="yellow"/>
          <w:lang w:val="sv-SE"/>
        </w:rPr>
      </w:pPr>
    </w:p>
    <w:p w14:paraId="26D07705" w14:textId="77777777" w:rsidR="004C6F6D" w:rsidRPr="00FD116E" w:rsidRDefault="004C6F6D" w:rsidP="008F78DC">
      <w:pPr>
        <w:pStyle w:val="Secondpagetext"/>
        <w:rPr>
          <w:i/>
          <w:highlight w:val="yellow"/>
          <w:lang w:val="sv-SE"/>
        </w:rPr>
      </w:pPr>
    </w:p>
    <w:p w14:paraId="2672CB11" w14:textId="77777777" w:rsidR="004C6F6D" w:rsidRPr="00FD116E" w:rsidRDefault="004C6F6D" w:rsidP="008F78DC">
      <w:pPr>
        <w:pStyle w:val="Secondpagetext"/>
        <w:rPr>
          <w:i/>
          <w:highlight w:val="yellow"/>
          <w:lang w:val="sv-SE"/>
        </w:rPr>
      </w:pPr>
    </w:p>
    <w:p w14:paraId="1CE51342" w14:textId="77777777" w:rsidR="004C6F6D" w:rsidRPr="00FD116E" w:rsidRDefault="004C6F6D" w:rsidP="008F78DC">
      <w:pPr>
        <w:pStyle w:val="Secondpagetext"/>
        <w:rPr>
          <w:i/>
          <w:highlight w:val="yellow"/>
          <w:lang w:val="sv-SE"/>
        </w:rPr>
      </w:pPr>
    </w:p>
    <w:p w14:paraId="1B209AC7" w14:textId="77777777" w:rsidR="004C6F6D" w:rsidRPr="00FD116E" w:rsidRDefault="004C6F6D" w:rsidP="008F78DC">
      <w:pPr>
        <w:pStyle w:val="Secondpagetext"/>
        <w:rPr>
          <w:i/>
          <w:highlight w:val="yellow"/>
          <w:lang w:val="sv-SE"/>
        </w:rPr>
      </w:pPr>
    </w:p>
    <w:p w14:paraId="4CDE88ED" w14:textId="77777777" w:rsidR="009E21D4" w:rsidRPr="00FD116E" w:rsidRDefault="009E21D4" w:rsidP="009E21D4">
      <w:pPr>
        <w:pStyle w:val="Secondpagetext"/>
        <w:rPr>
          <w:rFonts w:ascii="BentonSans Regular" w:hAnsi="BentonSans Regular"/>
          <w:sz w:val="32"/>
          <w:lang w:val="sv-SE"/>
        </w:rPr>
      </w:pPr>
      <w:r w:rsidRPr="00FD116E">
        <w:rPr>
          <w:lang w:val="sv-SE"/>
        </w:rPr>
        <w:br w:type="page"/>
      </w:r>
    </w:p>
    <w:p w14:paraId="1037D4A0" w14:textId="77777777" w:rsidR="00D07D5B" w:rsidRPr="00EC46B0" w:rsidRDefault="00D07D5B" w:rsidP="009B668D">
      <w:pPr>
        <w:pStyle w:val="Parttitle"/>
        <w:rPr>
          <w:lang w:val="sv-SE"/>
        </w:rPr>
      </w:pPr>
      <w:proofErr w:type="spellStart"/>
      <w:r w:rsidRPr="00EC46B0">
        <w:rPr>
          <w:lang w:val="sv-SE"/>
        </w:rPr>
        <w:lastRenderedPageBreak/>
        <w:t>Acknowledgement</w:t>
      </w:r>
      <w:proofErr w:type="spellEnd"/>
    </w:p>
    <w:p w14:paraId="48E4C083" w14:textId="77777777" w:rsidR="00C8042A" w:rsidRPr="00EC46B0" w:rsidRDefault="001A50A2" w:rsidP="00C8042A">
      <w:pPr>
        <w:sectPr w:rsidR="00C8042A" w:rsidRPr="00EC46B0" w:rsidSect="00D07D5B">
          <w:footerReference w:type="default" r:id="rId7"/>
          <w:footerReference w:type="first" r:id="rId8"/>
          <w:type w:val="oddPage"/>
          <w:pgSz w:w="11906" w:h="16838" w:code="9"/>
          <w:pgMar w:top="3005" w:right="3686" w:bottom="2778" w:left="1418" w:header="2552" w:footer="2325" w:gutter="0"/>
          <w:cols w:space="708"/>
          <w:titlePg/>
          <w:docGrid w:linePitch="360"/>
        </w:sectPr>
      </w:pPr>
      <w:proofErr w:type="spellStart"/>
      <w:r w:rsidRPr="00EC46B0">
        <w:t>Clöamk</w:t>
      </w:r>
      <w:proofErr w:type="spellEnd"/>
      <w:r w:rsidRPr="00EC46B0">
        <w:t xml:space="preserve"> </w:t>
      </w:r>
      <w:proofErr w:type="spellStart"/>
      <w:r w:rsidRPr="00EC46B0">
        <w:t>fgöårek</w:t>
      </w:r>
      <w:proofErr w:type="spellEnd"/>
      <w:r w:rsidRPr="00EC46B0">
        <w:t xml:space="preserve"> </w:t>
      </w:r>
      <w:proofErr w:type="spellStart"/>
      <w:r w:rsidRPr="00EC46B0">
        <w:t>qogmåf</w:t>
      </w:r>
      <w:proofErr w:type="spellEnd"/>
      <w:r w:rsidRPr="00EC46B0">
        <w:t xml:space="preserve"> </w:t>
      </w:r>
      <w:proofErr w:type="spellStart"/>
      <w:r w:rsidRPr="00EC46B0">
        <w:t>måpaf</w:t>
      </w:r>
      <w:proofErr w:type="spellEnd"/>
      <w:r w:rsidRPr="00EC46B0">
        <w:t xml:space="preserve"> </w:t>
      </w:r>
      <w:proofErr w:type="spellStart"/>
      <w:r w:rsidRPr="00EC46B0">
        <w:t>skdjwoejfw</w:t>
      </w:r>
      <w:proofErr w:type="spellEnd"/>
      <w:r w:rsidRPr="00EC46B0">
        <w:t xml:space="preserve"> l </w:t>
      </w:r>
      <w:proofErr w:type="spellStart"/>
      <w:r w:rsidRPr="00EC46B0">
        <w:t>lös</w:t>
      </w:r>
      <w:r w:rsidR="006729F8" w:rsidRPr="00EC46B0">
        <w:t>jdfoådjg</w:t>
      </w:r>
      <w:proofErr w:type="spellEnd"/>
      <w:r w:rsidR="006729F8" w:rsidRPr="00EC46B0">
        <w:t xml:space="preserve"> </w:t>
      </w:r>
      <w:proofErr w:type="spellStart"/>
      <w:r w:rsidR="006729F8" w:rsidRPr="00EC46B0">
        <w:t>sdko</w:t>
      </w:r>
      <w:proofErr w:type="spellEnd"/>
      <w:r w:rsidR="006729F8" w:rsidRPr="00EC46B0">
        <w:t xml:space="preserve"> </w:t>
      </w:r>
      <w:proofErr w:type="spellStart"/>
      <w:r w:rsidR="006729F8" w:rsidRPr="00EC46B0">
        <w:t>lsdåpd</w:t>
      </w:r>
      <w:proofErr w:type="spellEnd"/>
      <w:r w:rsidR="006729F8" w:rsidRPr="00EC46B0">
        <w:t xml:space="preserve"> </w:t>
      </w:r>
      <w:proofErr w:type="spellStart"/>
      <w:r w:rsidR="006729F8" w:rsidRPr="00EC46B0">
        <w:t>ldkfåpdk</w:t>
      </w:r>
      <w:proofErr w:type="spellEnd"/>
      <w:r w:rsidR="006729F8" w:rsidRPr="00EC46B0">
        <w:t xml:space="preserve"> </w:t>
      </w:r>
    </w:p>
    <w:p w14:paraId="0ABA38E3" w14:textId="77777777" w:rsidR="00541DA9" w:rsidRDefault="00541DA9">
      <w:pPr>
        <w:spacing w:after="200"/>
        <w:jc w:val="center"/>
        <w:rPr>
          <w:rFonts w:ascii="Arial" w:hAnsi="Arial"/>
          <w:sz w:val="32"/>
        </w:rPr>
      </w:pPr>
      <w:r>
        <w:lastRenderedPageBreak/>
        <w:br w:type="page"/>
      </w:r>
    </w:p>
    <w:p w14:paraId="25250108" w14:textId="77777777" w:rsidR="00D07D5B" w:rsidRPr="00EC46B0" w:rsidRDefault="00D07D5B" w:rsidP="009B668D">
      <w:pPr>
        <w:pStyle w:val="Parttitle"/>
        <w:rPr>
          <w:lang w:val="sv-SE"/>
        </w:rPr>
      </w:pPr>
      <w:r w:rsidRPr="00EC46B0">
        <w:rPr>
          <w:lang w:val="sv-SE"/>
        </w:rPr>
        <w:lastRenderedPageBreak/>
        <w:t>Abstract</w:t>
      </w:r>
    </w:p>
    <w:p w14:paraId="17A55BF6" w14:textId="77777777" w:rsidR="00C8042A" w:rsidRPr="00EC46B0" w:rsidRDefault="001A50A2" w:rsidP="00C8042A">
      <w:proofErr w:type="spellStart"/>
      <w:r w:rsidRPr="00EC46B0">
        <w:t>Vlöm¨åo</w:t>
      </w:r>
      <w:proofErr w:type="spellEnd"/>
      <w:r w:rsidRPr="00EC46B0">
        <w:t xml:space="preserve"> </w:t>
      </w:r>
      <w:proofErr w:type="spellStart"/>
      <w:r w:rsidRPr="00EC46B0">
        <w:t>alpsjdgorjk</w:t>
      </w:r>
      <w:proofErr w:type="spellEnd"/>
      <w:r w:rsidRPr="00EC46B0">
        <w:t xml:space="preserve"> </w:t>
      </w:r>
      <w:proofErr w:type="spellStart"/>
      <w:r w:rsidRPr="00EC46B0">
        <w:t>lk</w:t>
      </w:r>
      <w:proofErr w:type="spellEnd"/>
      <w:r w:rsidRPr="00EC46B0">
        <w:t xml:space="preserve"> </w:t>
      </w:r>
      <w:proofErr w:type="spellStart"/>
      <w:r w:rsidRPr="00EC46B0">
        <w:t>åaosjköåqwjkgtnmqw</w:t>
      </w:r>
      <w:proofErr w:type="spellEnd"/>
      <w:r w:rsidRPr="00EC46B0">
        <w:t xml:space="preserve"> </w:t>
      </w:r>
      <w:proofErr w:type="spellStart"/>
      <w:r w:rsidRPr="00EC46B0">
        <w:t>pdåkpåkgpapflg¨pwkerg</w:t>
      </w:r>
      <w:proofErr w:type="spellEnd"/>
      <w:r w:rsidRPr="00EC46B0">
        <w:t xml:space="preserve"> </w:t>
      </w:r>
      <w:proofErr w:type="spellStart"/>
      <w:r w:rsidRPr="00EC46B0">
        <w:t>åpkgt</w:t>
      </w:r>
      <w:proofErr w:type="spellEnd"/>
      <w:r w:rsidRPr="00EC46B0">
        <w:t xml:space="preserve"> </w:t>
      </w:r>
      <w:proofErr w:type="spellStart"/>
      <w:r w:rsidRPr="00EC46B0">
        <w:t>wpergkprkg</w:t>
      </w:r>
      <w:proofErr w:type="spellEnd"/>
      <w:r w:rsidRPr="00EC46B0">
        <w:t xml:space="preserve"> </w:t>
      </w:r>
    </w:p>
    <w:p w14:paraId="3DC5ADDB" w14:textId="77777777" w:rsidR="00C8042A" w:rsidRPr="00EC46B0" w:rsidRDefault="00C8042A" w:rsidP="00C8042A"/>
    <w:p w14:paraId="63AB7AF4" w14:textId="77777777" w:rsidR="00C8042A" w:rsidRPr="00EC46B0" w:rsidRDefault="00C8042A" w:rsidP="00C8042A">
      <w:pPr>
        <w:sectPr w:rsidR="00C8042A" w:rsidRPr="00EC46B0" w:rsidSect="00D07D5B">
          <w:type w:val="oddPage"/>
          <w:pgSz w:w="11906" w:h="16838" w:code="9"/>
          <w:pgMar w:top="3005" w:right="3686" w:bottom="2778" w:left="1418" w:header="2552" w:footer="2325" w:gutter="0"/>
          <w:cols w:space="708"/>
          <w:titlePg/>
          <w:docGrid w:linePitch="360"/>
        </w:sectPr>
      </w:pPr>
    </w:p>
    <w:p w14:paraId="4498DF06" w14:textId="77777777" w:rsidR="00541DA9" w:rsidRPr="00AA2B68" w:rsidRDefault="00541DA9">
      <w:pPr>
        <w:spacing w:after="200"/>
        <w:jc w:val="center"/>
        <w:rPr>
          <w:rFonts w:ascii="Arial" w:hAnsi="Arial"/>
          <w:sz w:val="32"/>
        </w:rPr>
      </w:pPr>
      <w:r>
        <w:lastRenderedPageBreak/>
        <w:br w:type="page"/>
      </w:r>
    </w:p>
    <w:p w14:paraId="37B0B0BD" w14:textId="77777777" w:rsidR="00C8042A" w:rsidRDefault="003202EB" w:rsidP="00C8042A">
      <w:pPr>
        <w:pStyle w:val="Parttitle"/>
      </w:pPr>
      <w:r>
        <w:lastRenderedPageBreak/>
        <w:t>Original papers</w:t>
      </w:r>
    </w:p>
    <w:p w14:paraId="1079080C" w14:textId="77777777" w:rsidR="00C8042A" w:rsidRPr="001D3AFA" w:rsidRDefault="00C8042A" w:rsidP="00C8042A">
      <w:pPr>
        <w:pStyle w:val="Partlistofarticles"/>
      </w:pPr>
      <w:r w:rsidRPr="001D3AFA">
        <w:t>Paper 1</w:t>
      </w:r>
    </w:p>
    <w:p w14:paraId="0E366F7B" w14:textId="77777777" w:rsidR="00C8042A" w:rsidRPr="00687C2C" w:rsidRDefault="00C8042A" w:rsidP="003F6764">
      <w:pPr>
        <w:rPr>
          <w:lang w:val="en-US"/>
        </w:rPr>
      </w:pPr>
      <w:r w:rsidRPr="00687C2C">
        <w:rPr>
          <w:lang w:val="en-US"/>
        </w:rPr>
        <w:t>The Nature of Entrepreneurial Identity and The Nature of Entrepreneurial Identity</w:t>
      </w:r>
    </w:p>
    <w:p w14:paraId="595F8139" w14:textId="77777777" w:rsidR="00C8042A" w:rsidRPr="009D45B4" w:rsidRDefault="00C8042A" w:rsidP="003F6764">
      <w:pPr>
        <w:pStyle w:val="PartAuthors"/>
      </w:pPr>
      <w:r w:rsidRPr="009D45B4">
        <w:t xml:space="preserve">Anders </w:t>
      </w:r>
      <w:r w:rsidRPr="003F6764">
        <w:t>Andersson</w:t>
      </w:r>
      <w:r w:rsidRPr="009D45B4">
        <w:t xml:space="preserve"> &amp; Bengt Bengtsson</w:t>
      </w:r>
    </w:p>
    <w:p w14:paraId="3FED42BF" w14:textId="77777777" w:rsidR="00C8042A" w:rsidRPr="001D3AFA" w:rsidRDefault="00C8042A" w:rsidP="00C8042A">
      <w:pPr>
        <w:pStyle w:val="Partlistofarticles"/>
      </w:pPr>
    </w:p>
    <w:p w14:paraId="0C266777" w14:textId="77777777" w:rsidR="00C8042A" w:rsidRPr="001D3AFA" w:rsidRDefault="00C8042A" w:rsidP="00C8042A">
      <w:pPr>
        <w:pStyle w:val="Partlistofarticles"/>
      </w:pPr>
      <w:r w:rsidRPr="001D3AFA">
        <w:t>Paper 2</w:t>
      </w:r>
    </w:p>
    <w:p w14:paraId="385BFE0C" w14:textId="77777777" w:rsidR="00C8042A" w:rsidRPr="00687C2C" w:rsidRDefault="00C8042A" w:rsidP="003F6764">
      <w:pPr>
        <w:rPr>
          <w:lang w:val="en-US"/>
        </w:rPr>
      </w:pPr>
      <w:r w:rsidRPr="00687C2C">
        <w:rPr>
          <w:lang w:val="en-US"/>
        </w:rPr>
        <w:t>The Nature of Entrepreneurial Identity and The Nature of Entrepreneurial Identity</w:t>
      </w:r>
    </w:p>
    <w:p w14:paraId="3C2DE694" w14:textId="77777777" w:rsidR="00C8042A" w:rsidRPr="009D45B4" w:rsidRDefault="00C8042A" w:rsidP="003F6764">
      <w:pPr>
        <w:pStyle w:val="PartAuthors"/>
      </w:pPr>
      <w:r w:rsidRPr="009D45B4">
        <w:t>David Davidsson</w:t>
      </w:r>
    </w:p>
    <w:p w14:paraId="47F39BE6" w14:textId="77777777" w:rsidR="00C8042A" w:rsidRPr="009D45B4" w:rsidRDefault="00C8042A" w:rsidP="00C8042A">
      <w:pPr>
        <w:pStyle w:val="Partlistofarticles"/>
        <w:rPr>
          <w:rFonts w:ascii="ScalaOT" w:hAnsi="ScalaOT"/>
        </w:rPr>
      </w:pPr>
    </w:p>
    <w:p w14:paraId="67B0A21D" w14:textId="77777777" w:rsidR="00C8042A" w:rsidRPr="001D3AFA" w:rsidRDefault="00C8042A" w:rsidP="00C8042A">
      <w:pPr>
        <w:pStyle w:val="Partlistofarticles"/>
      </w:pPr>
      <w:r w:rsidRPr="001D3AFA">
        <w:t>Paper 3</w:t>
      </w:r>
    </w:p>
    <w:p w14:paraId="7E483163" w14:textId="77777777" w:rsidR="00C8042A" w:rsidRPr="00687C2C" w:rsidRDefault="00C8042A" w:rsidP="003F6764">
      <w:pPr>
        <w:rPr>
          <w:lang w:val="en-US"/>
        </w:rPr>
      </w:pPr>
      <w:r w:rsidRPr="00687C2C">
        <w:rPr>
          <w:lang w:val="en-US"/>
        </w:rPr>
        <w:t>The Nature of Entrepreneurial Identity and The Nature of Entrepreneurial Identity</w:t>
      </w:r>
    </w:p>
    <w:p w14:paraId="329B90A9" w14:textId="77777777" w:rsidR="00C8042A" w:rsidRPr="001D3AFA" w:rsidRDefault="00C8042A" w:rsidP="003F6764">
      <w:pPr>
        <w:pStyle w:val="PartAuthors"/>
      </w:pPr>
      <w:r w:rsidRPr="009D45B4">
        <w:t>Erik Eriksson</w:t>
      </w:r>
    </w:p>
    <w:p w14:paraId="15097A3D" w14:textId="77777777" w:rsidR="00C8042A" w:rsidRPr="001D3AFA" w:rsidRDefault="00C8042A" w:rsidP="00C8042A">
      <w:pPr>
        <w:pStyle w:val="Partlistofarticles"/>
      </w:pPr>
    </w:p>
    <w:p w14:paraId="27A33DA5" w14:textId="77777777" w:rsidR="00C8042A" w:rsidRPr="001D3AFA" w:rsidRDefault="00C8042A" w:rsidP="00C8042A">
      <w:pPr>
        <w:pStyle w:val="Partlistofarticles"/>
      </w:pPr>
      <w:r w:rsidRPr="001D3AFA">
        <w:t>Paper 4</w:t>
      </w:r>
    </w:p>
    <w:p w14:paraId="3C80A15B" w14:textId="77777777" w:rsidR="00C8042A" w:rsidRPr="00687C2C" w:rsidRDefault="00C8042A" w:rsidP="003F6764">
      <w:pPr>
        <w:rPr>
          <w:lang w:val="en-US"/>
        </w:rPr>
      </w:pPr>
      <w:r w:rsidRPr="00687C2C">
        <w:rPr>
          <w:lang w:val="en-US"/>
        </w:rPr>
        <w:t>The Nature of Entrepreneurial Identity and The Nature of Entrepreneurial Identity</w:t>
      </w:r>
    </w:p>
    <w:p w14:paraId="2DBB05AA" w14:textId="77777777" w:rsidR="00C8042A" w:rsidRPr="009D45B4" w:rsidRDefault="00C8042A" w:rsidP="003F6764">
      <w:pPr>
        <w:pStyle w:val="PartAuthors"/>
      </w:pPr>
      <w:r w:rsidRPr="009D45B4">
        <w:t>Gustaf Gustafsson &amp; Hans Hansson</w:t>
      </w:r>
    </w:p>
    <w:p w14:paraId="7AD509EB" w14:textId="77777777" w:rsidR="00C8042A" w:rsidRDefault="00C8042A" w:rsidP="00D07D5B">
      <w:pPr>
        <w:rPr>
          <w:lang w:val="en-US"/>
        </w:rPr>
      </w:pPr>
    </w:p>
    <w:p w14:paraId="59EA814B" w14:textId="77777777" w:rsidR="00FE4118" w:rsidRPr="00FE4118" w:rsidRDefault="00FE4118" w:rsidP="006729F8">
      <w:pPr>
        <w:rPr>
          <w:lang w:val="en-US"/>
        </w:rPr>
        <w:sectPr w:rsidR="00FE4118" w:rsidRPr="00FE4118" w:rsidSect="00D07D5B">
          <w:type w:val="oddPage"/>
          <w:pgSz w:w="11906" w:h="16838" w:code="9"/>
          <w:pgMar w:top="3005" w:right="3686" w:bottom="2778" w:left="1418" w:header="2552" w:footer="2325" w:gutter="0"/>
          <w:cols w:space="708"/>
          <w:titlePg/>
          <w:docGrid w:linePitch="360"/>
        </w:sectPr>
      </w:pPr>
    </w:p>
    <w:p w14:paraId="146EFD14" w14:textId="77777777" w:rsidR="00437778" w:rsidRDefault="00437778" w:rsidP="009B668D">
      <w:pPr>
        <w:pStyle w:val="Parttitle"/>
      </w:pPr>
      <w:r>
        <w:lastRenderedPageBreak/>
        <w:t>Contents</w:t>
      </w:r>
    </w:p>
    <w:p w14:paraId="00EFB226" w14:textId="77777777" w:rsidR="005C309E" w:rsidRDefault="00876259">
      <w:pPr>
        <w:pStyle w:val="Innehll1"/>
        <w:tabs>
          <w:tab w:val="right" w:leader="dot" w:pos="6792"/>
        </w:tabs>
        <w:rPr>
          <w:rFonts w:asciiTheme="minorHAnsi" w:eastAsiaTheme="minorEastAsia" w:hAnsiTheme="minorHAnsi"/>
          <w:noProof/>
          <w:lang w:eastAsia="sv-SE"/>
        </w:rPr>
      </w:pPr>
      <w:r>
        <w:rPr>
          <w:lang w:val="en-US"/>
        </w:rPr>
        <w:fldChar w:fldCharType="begin"/>
      </w:r>
      <w:r>
        <w:rPr>
          <w:lang w:val="en-US"/>
        </w:rPr>
        <w:instrText xml:space="preserve"> TOC \o "1-3" \h \z \u </w:instrText>
      </w:r>
      <w:r>
        <w:rPr>
          <w:lang w:val="en-US"/>
        </w:rPr>
        <w:fldChar w:fldCharType="separate"/>
      </w:r>
      <w:hyperlink w:anchor="_Toc471369993" w:history="1">
        <w:r w:rsidR="005C309E" w:rsidRPr="00DF6DE1">
          <w:rPr>
            <w:rStyle w:val="Hyperlnk"/>
            <w:noProof/>
            <w:lang w:val="en-US"/>
          </w:rPr>
          <w:t>Heading 1 Heading 1 Heading 1 Heading 1</w:t>
        </w:r>
        <w:r w:rsidR="005C309E">
          <w:rPr>
            <w:noProof/>
            <w:webHidden/>
          </w:rPr>
          <w:tab/>
        </w:r>
        <w:r w:rsidR="005C309E">
          <w:rPr>
            <w:noProof/>
            <w:webHidden/>
          </w:rPr>
          <w:fldChar w:fldCharType="begin"/>
        </w:r>
        <w:r w:rsidR="005C309E">
          <w:rPr>
            <w:noProof/>
            <w:webHidden/>
          </w:rPr>
          <w:instrText xml:space="preserve"> PAGEREF _Toc471369993 \h </w:instrText>
        </w:r>
        <w:r w:rsidR="005C309E">
          <w:rPr>
            <w:noProof/>
            <w:webHidden/>
          </w:rPr>
        </w:r>
        <w:r w:rsidR="005C309E">
          <w:rPr>
            <w:noProof/>
            <w:webHidden/>
          </w:rPr>
          <w:fldChar w:fldCharType="separate"/>
        </w:r>
        <w:r w:rsidR="005C309E">
          <w:rPr>
            <w:noProof/>
            <w:webHidden/>
          </w:rPr>
          <w:t>1</w:t>
        </w:r>
        <w:r w:rsidR="005C309E">
          <w:rPr>
            <w:noProof/>
            <w:webHidden/>
          </w:rPr>
          <w:fldChar w:fldCharType="end"/>
        </w:r>
      </w:hyperlink>
    </w:p>
    <w:p w14:paraId="06921308" w14:textId="77777777" w:rsidR="005C309E" w:rsidRDefault="00D673EE">
      <w:pPr>
        <w:pStyle w:val="Innehll2"/>
        <w:tabs>
          <w:tab w:val="right" w:leader="dot" w:pos="6792"/>
        </w:tabs>
        <w:rPr>
          <w:rFonts w:asciiTheme="minorHAnsi" w:eastAsiaTheme="minorEastAsia" w:hAnsiTheme="minorHAnsi"/>
          <w:noProof/>
          <w:lang w:eastAsia="sv-SE"/>
        </w:rPr>
      </w:pPr>
      <w:hyperlink w:anchor="_Toc471369994" w:history="1">
        <w:r w:rsidR="005C309E" w:rsidRPr="00DF6DE1">
          <w:rPr>
            <w:rStyle w:val="Hyperlnk"/>
            <w:noProof/>
            <w:lang w:val="en-US"/>
          </w:rPr>
          <w:t>Heading 2 Heading 2 Heading 2 Heading 2 Heading 2</w:t>
        </w:r>
        <w:r w:rsidR="005C309E">
          <w:rPr>
            <w:noProof/>
            <w:webHidden/>
          </w:rPr>
          <w:tab/>
        </w:r>
        <w:r w:rsidR="005C309E">
          <w:rPr>
            <w:noProof/>
            <w:webHidden/>
          </w:rPr>
          <w:fldChar w:fldCharType="begin"/>
        </w:r>
        <w:r w:rsidR="005C309E">
          <w:rPr>
            <w:noProof/>
            <w:webHidden/>
          </w:rPr>
          <w:instrText xml:space="preserve"> PAGEREF _Toc471369994 \h </w:instrText>
        </w:r>
        <w:r w:rsidR="005C309E">
          <w:rPr>
            <w:noProof/>
            <w:webHidden/>
          </w:rPr>
        </w:r>
        <w:r w:rsidR="005C309E">
          <w:rPr>
            <w:noProof/>
            <w:webHidden/>
          </w:rPr>
          <w:fldChar w:fldCharType="separate"/>
        </w:r>
        <w:r w:rsidR="005C309E">
          <w:rPr>
            <w:noProof/>
            <w:webHidden/>
          </w:rPr>
          <w:t>1</w:t>
        </w:r>
        <w:r w:rsidR="005C309E">
          <w:rPr>
            <w:noProof/>
            <w:webHidden/>
          </w:rPr>
          <w:fldChar w:fldCharType="end"/>
        </w:r>
      </w:hyperlink>
    </w:p>
    <w:p w14:paraId="2CF0C85D" w14:textId="77777777" w:rsidR="005C309E" w:rsidRDefault="00D673EE">
      <w:pPr>
        <w:pStyle w:val="Innehll3"/>
        <w:tabs>
          <w:tab w:val="right" w:leader="dot" w:pos="6792"/>
        </w:tabs>
        <w:rPr>
          <w:rFonts w:asciiTheme="minorHAnsi" w:eastAsiaTheme="minorEastAsia" w:hAnsiTheme="minorHAnsi"/>
          <w:noProof/>
          <w:lang w:eastAsia="sv-SE"/>
        </w:rPr>
      </w:pPr>
      <w:hyperlink w:anchor="_Toc471369995" w:history="1">
        <w:r w:rsidR="005C309E" w:rsidRPr="00DF6DE1">
          <w:rPr>
            <w:rStyle w:val="Hyperlnk"/>
            <w:noProof/>
            <w:lang w:val="en-US"/>
          </w:rPr>
          <w:t>Heading 3 Heading 3 Heading 3 Heading 3</w:t>
        </w:r>
        <w:r w:rsidR="005C309E">
          <w:rPr>
            <w:noProof/>
            <w:webHidden/>
          </w:rPr>
          <w:tab/>
        </w:r>
        <w:r w:rsidR="005C309E">
          <w:rPr>
            <w:noProof/>
            <w:webHidden/>
          </w:rPr>
          <w:fldChar w:fldCharType="begin"/>
        </w:r>
        <w:r w:rsidR="005C309E">
          <w:rPr>
            <w:noProof/>
            <w:webHidden/>
          </w:rPr>
          <w:instrText xml:space="preserve"> PAGEREF _Toc471369995 \h </w:instrText>
        </w:r>
        <w:r w:rsidR="005C309E">
          <w:rPr>
            <w:noProof/>
            <w:webHidden/>
          </w:rPr>
        </w:r>
        <w:r w:rsidR="005C309E">
          <w:rPr>
            <w:noProof/>
            <w:webHidden/>
          </w:rPr>
          <w:fldChar w:fldCharType="separate"/>
        </w:r>
        <w:r w:rsidR="005C309E">
          <w:rPr>
            <w:noProof/>
            <w:webHidden/>
          </w:rPr>
          <w:t>1</w:t>
        </w:r>
        <w:r w:rsidR="005C309E">
          <w:rPr>
            <w:noProof/>
            <w:webHidden/>
          </w:rPr>
          <w:fldChar w:fldCharType="end"/>
        </w:r>
      </w:hyperlink>
    </w:p>
    <w:p w14:paraId="2C436E70" w14:textId="77777777" w:rsidR="005C309E" w:rsidRDefault="00D673EE">
      <w:pPr>
        <w:pStyle w:val="Innehll3"/>
        <w:tabs>
          <w:tab w:val="right" w:leader="dot" w:pos="6792"/>
        </w:tabs>
        <w:rPr>
          <w:rFonts w:asciiTheme="minorHAnsi" w:eastAsiaTheme="minorEastAsia" w:hAnsiTheme="minorHAnsi"/>
          <w:noProof/>
          <w:lang w:eastAsia="sv-SE"/>
        </w:rPr>
      </w:pPr>
      <w:hyperlink w:anchor="_Toc471369996" w:history="1">
        <w:r w:rsidR="005C309E" w:rsidRPr="00DF6DE1">
          <w:rPr>
            <w:rStyle w:val="Hyperlnk"/>
            <w:noProof/>
            <w:lang w:val="en-US"/>
          </w:rPr>
          <w:t>Heading 3 Heading 3 Heading 3 Heading 3</w:t>
        </w:r>
        <w:r w:rsidR="005C309E">
          <w:rPr>
            <w:noProof/>
            <w:webHidden/>
          </w:rPr>
          <w:tab/>
        </w:r>
        <w:r w:rsidR="005C309E">
          <w:rPr>
            <w:noProof/>
            <w:webHidden/>
          </w:rPr>
          <w:fldChar w:fldCharType="begin"/>
        </w:r>
        <w:r w:rsidR="005C309E">
          <w:rPr>
            <w:noProof/>
            <w:webHidden/>
          </w:rPr>
          <w:instrText xml:space="preserve"> PAGEREF _Toc471369996 \h </w:instrText>
        </w:r>
        <w:r w:rsidR="005C309E">
          <w:rPr>
            <w:noProof/>
            <w:webHidden/>
          </w:rPr>
        </w:r>
        <w:r w:rsidR="005C309E">
          <w:rPr>
            <w:noProof/>
            <w:webHidden/>
          </w:rPr>
          <w:fldChar w:fldCharType="separate"/>
        </w:r>
        <w:r w:rsidR="005C309E">
          <w:rPr>
            <w:noProof/>
            <w:webHidden/>
          </w:rPr>
          <w:t>2</w:t>
        </w:r>
        <w:r w:rsidR="005C309E">
          <w:rPr>
            <w:noProof/>
            <w:webHidden/>
          </w:rPr>
          <w:fldChar w:fldCharType="end"/>
        </w:r>
      </w:hyperlink>
    </w:p>
    <w:p w14:paraId="31F0804A" w14:textId="77777777" w:rsidR="005C309E" w:rsidRDefault="00D673EE">
      <w:pPr>
        <w:pStyle w:val="Innehll1"/>
        <w:tabs>
          <w:tab w:val="right" w:leader="dot" w:pos="6792"/>
        </w:tabs>
        <w:rPr>
          <w:rFonts w:asciiTheme="minorHAnsi" w:eastAsiaTheme="minorEastAsia" w:hAnsiTheme="minorHAnsi"/>
          <w:noProof/>
          <w:lang w:eastAsia="sv-SE"/>
        </w:rPr>
      </w:pPr>
      <w:hyperlink w:anchor="_Toc471369997" w:history="1">
        <w:r w:rsidR="005C309E" w:rsidRPr="00DF6DE1">
          <w:rPr>
            <w:rStyle w:val="Hyperlnk"/>
            <w:noProof/>
            <w:lang w:val="en-US"/>
          </w:rPr>
          <w:t>Heading 1 Heading 1 Heading 1 Heading 1</w:t>
        </w:r>
        <w:r w:rsidR="005C309E">
          <w:rPr>
            <w:noProof/>
            <w:webHidden/>
          </w:rPr>
          <w:tab/>
        </w:r>
        <w:r w:rsidR="005C309E">
          <w:rPr>
            <w:noProof/>
            <w:webHidden/>
          </w:rPr>
          <w:fldChar w:fldCharType="begin"/>
        </w:r>
        <w:r w:rsidR="005C309E">
          <w:rPr>
            <w:noProof/>
            <w:webHidden/>
          </w:rPr>
          <w:instrText xml:space="preserve"> PAGEREF _Toc471369997 \h </w:instrText>
        </w:r>
        <w:r w:rsidR="005C309E">
          <w:rPr>
            <w:noProof/>
            <w:webHidden/>
          </w:rPr>
        </w:r>
        <w:r w:rsidR="005C309E">
          <w:rPr>
            <w:noProof/>
            <w:webHidden/>
          </w:rPr>
          <w:fldChar w:fldCharType="separate"/>
        </w:r>
        <w:r w:rsidR="005C309E">
          <w:rPr>
            <w:noProof/>
            <w:webHidden/>
          </w:rPr>
          <w:t>5</w:t>
        </w:r>
        <w:r w:rsidR="005C309E">
          <w:rPr>
            <w:noProof/>
            <w:webHidden/>
          </w:rPr>
          <w:fldChar w:fldCharType="end"/>
        </w:r>
      </w:hyperlink>
    </w:p>
    <w:p w14:paraId="72765E8D" w14:textId="77777777" w:rsidR="005C309E" w:rsidRDefault="00D673EE">
      <w:pPr>
        <w:pStyle w:val="Innehll2"/>
        <w:tabs>
          <w:tab w:val="right" w:leader="dot" w:pos="6792"/>
        </w:tabs>
        <w:rPr>
          <w:rFonts w:asciiTheme="minorHAnsi" w:eastAsiaTheme="minorEastAsia" w:hAnsiTheme="minorHAnsi"/>
          <w:noProof/>
          <w:lang w:eastAsia="sv-SE"/>
        </w:rPr>
      </w:pPr>
      <w:hyperlink w:anchor="_Toc471369998" w:history="1">
        <w:r w:rsidR="005C309E" w:rsidRPr="00DF6DE1">
          <w:rPr>
            <w:rStyle w:val="Hyperlnk"/>
            <w:noProof/>
            <w:lang w:val="en-US"/>
          </w:rPr>
          <w:t>Heading 2 Heading 2 Heading 2 Heading 2 Heading 2</w:t>
        </w:r>
        <w:r w:rsidR="005C309E">
          <w:rPr>
            <w:noProof/>
            <w:webHidden/>
          </w:rPr>
          <w:tab/>
        </w:r>
        <w:r w:rsidR="005C309E">
          <w:rPr>
            <w:noProof/>
            <w:webHidden/>
          </w:rPr>
          <w:fldChar w:fldCharType="begin"/>
        </w:r>
        <w:r w:rsidR="005C309E">
          <w:rPr>
            <w:noProof/>
            <w:webHidden/>
          </w:rPr>
          <w:instrText xml:space="preserve"> PAGEREF _Toc471369998 \h </w:instrText>
        </w:r>
        <w:r w:rsidR="005C309E">
          <w:rPr>
            <w:noProof/>
            <w:webHidden/>
          </w:rPr>
        </w:r>
        <w:r w:rsidR="005C309E">
          <w:rPr>
            <w:noProof/>
            <w:webHidden/>
          </w:rPr>
          <w:fldChar w:fldCharType="separate"/>
        </w:r>
        <w:r w:rsidR="005C309E">
          <w:rPr>
            <w:noProof/>
            <w:webHidden/>
          </w:rPr>
          <w:t>5</w:t>
        </w:r>
        <w:r w:rsidR="005C309E">
          <w:rPr>
            <w:noProof/>
            <w:webHidden/>
          </w:rPr>
          <w:fldChar w:fldCharType="end"/>
        </w:r>
      </w:hyperlink>
    </w:p>
    <w:p w14:paraId="42162A3E" w14:textId="77777777" w:rsidR="005C309E" w:rsidRDefault="00D673EE">
      <w:pPr>
        <w:pStyle w:val="Innehll3"/>
        <w:tabs>
          <w:tab w:val="right" w:leader="dot" w:pos="6792"/>
        </w:tabs>
        <w:rPr>
          <w:rFonts w:asciiTheme="minorHAnsi" w:eastAsiaTheme="minorEastAsia" w:hAnsiTheme="minorHAnsi"/>
          <w:noProof/>
          <w:lang w:eastAsia="sv-SE"/>
        </w:rPr>
      </w:pPr>
      <w:hyperlink w:anchor="_Toc471369999" w:history="1">
        <w:r w:rsidR="005C309E" w:rsidRPr="00DF6DE1">
          <w:rPr>
            <w:rStyle w:val="Hyperlnk"/>
            <w:noProof/>
            <w:lang w:val="en-US"/>
          </w:rPr>
          <w:t>Heading 3 Heading 3 Heading 3 Heading 3</w:t>
        </w:r>
        <w:r w:rsidR="005C309E">
          <w:rPr>
            <w:noProof/>
            <w:webHidden/>
          </w:rPr>
          <w:tab/>
        </w:r>
        <w:r w:rsidR="005C309E">
          <w:rPr>
            <w:noProof/>
            <w:webHidden/>
          </w:rPr>
          <w:fldChar w:fldCharType="begin"/>
        </w:r>
        <w:r w:rsidR="005C309E">
          <w:rPr>
            <w:noProof/>
            <w:webHidden/>
          </w:rPr>
          <w:instrText xml:space="preserve"> PAGEREF _Toc471369999 \h </w:instrText>
        </w:r>
        <w:r w:rsidR="005C309E">
          <w:rPr>
            <w:noProof/>
            <w:webHidden/>
          </w:rPr>
        </w:r>
        <w:r w:rsidR="005C309E">
          <w:rPr>
            <w:noProof/>
            <w:webHidden/>
          </w:rPr>
          <w:fldChar w:fldCharType="separate"/>
        </w:r>
        <w:r w:rsidR="005C309E">
          <w:rPr>
            <w:noProof/>
            <w:webHidden/>
          </w:rPr>
          <w:t>5</w:t>
        </w:r>
        <w:r w:rsidR="005C309E">
          <w:rPr>
            <w:noProof/>
            <w:webHidden/>
          </w:rPr>
          <w:fldChar w:fldCharType="end"/>
        </w:r>
      </w:hyperlink>
    </w:p>
    <w:p w14:paraId="675F54AD" w14:textId="77777777" w:rsidR="005C309E" w:rsidRDefault="00D673EE">
      <w:pPr>
        <w:pStyle w:val="Innehll3"/>
        <w:tabs>
          <w:tab w:val="right" w:leader="dot" w:pos="6792"/>
        </w:tabs>
        <w:rPr>
          <w:rFonts w:asciiTheme="minorHAnsi" w:eastAsiaTheme="minorEastAsia" w:hAnsiTheme="minorHAnsi"/>
          <w:noProof/>
          <w:lang w:eastAsia="sv-SE"/>
        </w:rPr>
      </w:pPr>
      <w:hyperlink w:anchor="_Toc471370000" w:history="1">
        <w:r w:rsidR="005C309E" w:rsidRPr="00DF6DE1">
          <w:rPr>
            <w:rStyle w:val="Hyperlnk"/>
            <w:noProof/>
            <w:lang w:val="en-US"/>
          </w:rPr>
          <w:t>Heading 3 Heading 3 Heading 3 Heading 3</w:t>
        </w:r>
        <w:r w:rsidR="005C309E">
          <w:rPr>
            <w:noProof/>
            <w:webHidden/>
          </w:rPr>
          <w:tab/>
        </w:r>
        <w:r w:rsidR="005C309E">
          <w:rPr>
            <w:noProof/>
            <w:webHidden/>
          </w:rPr>
          <w:fldChar w:fldCharType="begin"/>
        </w:r>
        <w:r w:rsidR="005C309E">
          <w:rPr>
            <w:noProof/>
            <w:webHidden/>
          </w:rPr>
          <w:instrText xml:space="preserve"> PAGEREF _Toc471370000 \h </w:instrText>
        </w:r>
        <w:r w:rsidR="005C309E">
          <w:rPr>
            <w:noProof/>
            <w:webHidden/>
          </w:rPr>
        </w:r>
        <w:r w:rsidR="005C309E">
          <w:rPr>
            <w:noProof/>
            <w:webHidden/>
          </w:rPr>
          <w:fldChar w:fldCharType="separate"/>
        </w:r>
        <w:r w:rsidR="005C309E">
          <w:rPr>
            <w:noProof/>
            <w:webHidden/>
          </w:rPr>
          <w:t>7</w:t>
        </w:r>
        <w:r w:rsidR="005C309E">
          <w:rPr>
            <w:noProof/>
            <w:webHidden/>
          </w:rPr>
          <w:fldChar w:fldCharType="end"/>
        </w:r>
      </w:hyperlink>
    </w:p>
    <w:p w14:paraId="4F406DFA" w14:textId="77777777" w:rsidR="005C309E" w:rsidRDefault="00D673EE">
      <w:pPr>
        <w:pStyle w:val="Innehll1"/>
        <w:tabs>
          <w:tab w:val="right" w:leader="dot" w:pos="6792"/>
        </w:tabs>
        <w:rPr>
          <w:rFonts w:asciiTheme="minorHAnsi" w:eastAsiaTheme="minorEastAsia" w:hAnsiTheme="minorHAnsi"/>
          <w:noProof/>
          <w:lang w:eastAsia="sv-SE"/>
        </w:rPr>
      </w:pPr>
      <w:hyperlink w:anchor="_Toc471370001" w:history="1">
        <w:r w:rsidR="005C309E" w:rsidRPr="00DF6DE1">
          <w:rPr>
            <w:rStyle w:val="Hyperlnk"/>
            <w:noProof/>
          </w:rPr>
          <w:t>Referenser Referenser Referenser Referenser Referenser</w:t>
        </w:r>
        <w:r w:rsidR="005C309E">
          <w:rPr>
            <w:noProof/>
            <w:webHidden/>
          </w:rPr>
          <w:tab/>
        </w:r>
        <w:r w:rsidR="005C309E">
          <w:rPr>
            <w:noProof/>
            <w:webHidden/>
          </w:rPr>
          <w:fldChar w:fldCharType="begin"/>
        </w:r>
        <w:r w:rsidR="005C309E">
          <w:rPr>
            <w:noProof/>
            <w:webHidden/>
          </w:rPr>
          <w:instrText xml:space="preserve"> PAGEREF _Toc471370001 \h </w:instrText>
        </w:r>
        <w:r w:rsidR="005C309E">
          <w:rPr>
            <w:noProof/>
            <w:webHidden/>
          </w:rPr>
        </w:r>
        <w:r w:rsidR="005C309E">
          <w:rPr>
            <w:noProof/>
            <w:webHidden/>
          </w:rPr>
          <w:fldChar w:fldCharType="separate"/>
        </w:r>
        <w:r w:rsidR="005C309E">
          <w:rPr>
            <w:noProof/>
            <w:webHidden/>
          </w:rPr>
          <w:t>9</w:t>
        </w:r>
        <w:r w:rsidR="005C309E">
          <w:rPr>
            <w:noProof/>
            <w:webHidden/>
          </w:rPr>
          <w:fldChar w:fldCharType="end"/>
        </w:r>
      </w:hyperlink>
    </w:p>
    <w:p w14:paraId="75C7F6B2" w14:textId="77777777" w:rsidR="00D07D5B" w:rsidRPr="00D07D5B" w:rsidRDefault="00876259" w:rsidP="00616BE0">
      <w:pPr>
        <w:pStyle w:val="Innehll1"/>
        <w:tabs>
          <w:tab w:val="right" w:leader="dot" w:pos="6792"/>
        </w:tabs>
        <w:jc w:val="left"/>
        <w:rPr>
          <w:lang w:val="en-US"/>
        </w:rPr>
        <w:sectPr w:rsidR="00D07D5B" w:rsidRPr="00D07D5B" w:rsidSect="00D07D5B">
          <w:type w:val="oddPage"/>
          <w:pgSz w:w="11906" w:h="16838" w:code="9"/>
          <w:pgMar w:top="3005" w:right="3686" w:bottom="2778" w:left="1418" w:header="2552" w:footer="2325" w:gutter="0"/>
          <w:cols w:space="708"/>
          <w:titlePg/>
          <w:docGrid w:linePitch="360"/>
        </w:sectPr>
      </w:pPr>
      <w:r>
        <w:rPr>
          <w:lang w:val="en-US"/>
        </w:rPr>
        <w:fldChar w:fldCharType="end"/>
      </w:r>
    </w:p>
    <w:p w14:paraId="134FF391" w14:textId="77777777" w:rsidR="001F1CD7" w:rsidRPr="00522894" w:rsidRDefault="009B39AE" w:rsidP="006729F8">
      <w:pPr>
        <w:pStyle w:val="Rubrik1"/>
        <w:rPr>
          <w:lang w:val="en-US"/>
        </w:rPr>
      </w:pPr>
      <w:bookmarkStart w:id="0" w:name="_Toc467677100"/>
      <w:bookmarkStart w:id="1" w:name="_Toc471369993"/>
      <w:r>
        <w:rPr>
          <w:lang w:val="en-US"/>
        </w:rPr>
        <w:lastRenderedPageBreak/>
        <w:t>Heading 1 Heading 1 Heading 1 Heading 1</w:t>
      </w:r>
      <w:bookmarkEnd w:id="0"/>
      <w:bookmarkEnd w:id="1"/>
      <w:r>
        <w:rPr>
          <w:lang w:val="en-US"/>
        </w:rPr>
        <w:t xml:space="preserve"> </w:t>
      </w:r>
    </w:p>
    <w:p w14:paraId="7D3FC08A" w14:textId="77777777" w:rsidR="00522894" w:rsidRDefault="00522894" w:rsidP="009C5159">
      <w:pPr>
        <w:pStyle w:val="Normalwithindent"/>
        <w:ind w:firstLine="0"/>
      </w:pPr>
      <w:r w:rsidRPr="00522894">
        <w:t xml:space="preserve">When I grew up in Sweden in the 1980s, for me and those in my generation TV was equal to public service TV, which was equal to the public service broadcaster SVT, or as it was then called </w:t>
      </w:r>
      <w:proofErr w:type="spellStart"/>
      <w:r w:rsidRPr="00522894">
        <w:t>Sveriges</w:t>
      </w:r>
      <w:proofErr w:type="spellEnd"/>
      <w:r w:rsidRPr="00522894">
        <w:t xml:space="preserve"> Television (Sweden’s Television). If you watched TV you watched public service TV and you watched SVT, which were one and the same. TV was public service TV, which was SVT. This was during the last decade of the Swedish public service TV monopoly.  </w:t>
      </w:r>
    </w:p>
    <w:p w14:paraId="3453F0AB" w14:textId="77777777" w:rsidR="00D673EE" w:rsidRDefault="00D673EE" w:rsidP="009C5159">
      <w:pPr>
        <w:pStyle w:val="Normalwithindent"/>
        <w:ind w:firstLine="0"/>
      </w:pPr>
    </w:p>
    <w:p w14:paraId="11CA572F" w14:textId="1CCB0A39" w:rsidR="00522894" w:rsidRDefault="00522894" w:rsidP="009C5159">
      <w:pPr>
        <w:pStyle w:val="Normalwithindent"/>
        <w:ind w:firstLine="0"/>
      </w:pPr>
      <w:bookmarkStart w:id="2" w:name="_GoBack"/>
      <w:bookmarkEnd w:id="2"/>
      <w:r w:rsidRPr="00522894">
        <w:t xml:space="preserve">At the end of the 80s, the first Swedish advertising funded channel was launched by satellite from London in order to bypass Swedish legislation. I was unaware that this was to be the beginning of the end of the monopoly days as I sat in front of the TV eagerly awaiting the children’s </w:t>
      </w:r>
      <w:proofErr w:type="spellStart"/>
      <w:r w:rsidRPr="00522894">
        <w:t>programmes</w:t>
      </w:r>
      <w:proofErr w:type="spellEnd"/>
      <w:r w:rsidRPr="00522894">
        <w:t xml:space="preserve"> to start. </w:t>
      </w:r>
    </w:p>
    <w:p w14:paraId="1A7F7307" w14:textId="77777777" w:rsidR="00522894" w:rsidRPr="00522894" w:rsidRDefault="009B39AE" w:rsidP="00522894">
      <w:pPr>
        <w:pStyle w:val="Rubrik2"/>
        <w:rPr>
          <w:lang w:val="en-US"/>
        </w:rPr>
      </w:pPr>
      <w:bookmarkStart w:id="3" w:name="_Toc467677101"/>
      <w:bookmarkStart w:id="4" w:name="_Toc471369994"/>
      <w:r>
        <w:rPr>
          <w:lang w:val="en-US"/>
        </w:rPr>
        <w:t>Heading 2 Heading 2 Heading 2 Heading 2 Heading 2</w:t>
      </w:r>
      <w:bookmarkEnd w:id="3"/>
      <w:bookmarkEnd w:id="4"/>
    </w:p>
    <w:p w14:paraId="266C9BED" w14:textId="77777777" w:rsidR="009B39AE" w:rsidRDefault="009B39AE" w:rsidP="009B39AE">
      <w:pPr>
        <w:rPr>
          <w:lang w:val="en-US"/>
        </w:rPr>
      </w:pPr>
      <w:r w:rsidRPr="00522894">
        <w:rPr>
          <w:lang w:val="en-US"/>
        </w:rPr>
        <w:t xml:space="preserve">I can remember it to this day: first there was the test card, then five minutes before it started an image with a clock appeared, and my brother and I started counting down. </w:t>
      </w:r>
      <w:r>
        <w:t xml:space="preserve">And </w:t>
      </w:r>
      <w:proofErr w:type="spellStart"/>
      <w:r>
        <w:t>then</w:t>
      </w:r>
      <w:proofErr w:type="spellEnd"/>
      <w:r>
        <w:t xml:space="preserve"> it </w:t>
      </w:r>
      <w:proofErr w:type="spellStart"/>
      <w:r>
        <w:t>began</w:t>
      </w:r>
      <w:proofErr w:type="spellEnd"/>
      <w:r>
        <w:t xml:space="preserve">: “Kom nu då! Vadå? Barnprogram på TV 2!”  </w:t>
      </w:r>
      <w:r w:rsidRPr="00522894">
        <w:rPr>
          <w:lang w:val="en-US"/>
        </w:rPr>
        <w:t xml:space="preserve">For a TV starved child in those days, for whom even the cartoon like episode in the weather forecast showing the times for sunrise and sunset was something fascinating, children’s </w:t>
      </w:r>
      <w:proofErr w:type="spellStart"/>
      <w:r w:rsidRPr="00522894">
        <w:rPr>
          <w:lang w:val="en-US"/>
        </w:rPr>
        <w:t>programmes</w:t>
      </w:r>
      <w:proofErr w:type="spellEnd"/>
      <w:r w:rsidRPr="00522894">
        <w:rPr>
          <w:lang w:val="en-US"/>
        </w:rPr>
        <w:t xml:space="preserve"> were the highlights of an ordinary day.</w:t>
      </w:r>
    </w:p>
    <w:p w14:paraId="2FA69868" w14:textId="77777777" w:rsidR="009B39AE" w:rsidRPr="000A4258" w:rsidRDefault="009B39AE" w:rsidP="009B39AE">
      <w:pPr>
        <w:pStyle w:val="Rubrik3"/>
        <w:rPr>
          <w:lang w:val="en-US"/>
        </w:rPr>
      </w:pPr>
      <w:bookmarkStart w:id="5" w:name="_Toc467677102"/>
      <w:bookmarkStart w:id="6" w:name="_Toc471369995"/>
      <w:r w:rsidRPr="000A4258">
        <w:rPr>
          <w:lang w:val="en-US"/>
        </w:rPr>
        <w:t>Heading 3 Heading 3 Heading 3 Heading 3</w:t>
      </w:r>
      <w:bookmarkEnd w:id="5"/>
      <w:bookmarkEnd w:id="6"/>
      <w:r w:rsidRPr="000A4258">
        <w:rPr>
          <w:lang w:val="en-US"/>
        </w:rPr>
        <w:t xml:space="preserve"> </w:t>
      </w:r>
    </w:p>
    <w:p w14:paraId="2531A84C" w14:textId="77777777" w:rsidR="009B39AE" w:rsidRDefault="00522894" w:rsidP="009B39AE">
      <w:pPr>
        <w:rPr>
          <w:lang w:val="en-US"/>
        </w:rPr>
      </w:pPr>
      <w:r w:rsidRPr="009B39AE">
        <w:rPr>
          <w:lang w:val="en-US"/>
        </w:rPr>
        <w:t xml:space="preserve">Three decades later, my little daughter has just discovered the joys of television. She however doesn’t have to wait in front of the TV for the children’s </w:t>
      </w:r>
      <w:proofErr w:type="spellStart"/>
      <w:r w:rsidRPr="009B39AE">
        <w:rPr>
          <w:lang w:val="en-US"/>
        </w:rPr>
        <w:t>programmes</w:t>
      </w:r>
      <w:proofErr w:type="spellEnd"/>
      <w:r w:rsidRPr="009B39AE">
        <w:rPr>
          <w:lang w:val="en-US"/>
        </w:rPr>
        <w:t xml:space="preserve"> to </w:t>
      </w:r>
      <w:proofErr w:type="gramStart"/>
      <w:r w:rsidRPr="009B39AE">
        <w:rPr>
          <w:lang w:val="en-US"/>
        </w:rPr>
        <w:t>start:</w:t>
      </w:r>
      <w:proofErr w:type="gramEnd"/>
      <w:r w:rsidRPr="009B39AE">
        <w:rPr>
          <w:lang w:val="en-US"/>
        </w:rPr>
        <w:t xml:space="preserve"> for her, a limitless supply of children’s content is available around the clock on the computer and the mobile phone, as well as on</w:t>
      </w:r>
      <w:r w:rsidRPr="00522894">
        <w:rPr>
          <w:lang w:val="en-US"/>
        </w:rPr>
        <w:t xml:space="preserve"> </w:t>
      </w:r>
      <w:proofErr w:type="spellStart"/>
      <w:r w:rsidRPr="00522894">
        <w:rPr>
          <w:lang w:val="en-US"/>
        </w:rPr>
        <w:t>specialised</w:t>
      </w:r>
      <w:proofErr w:type="spellEnd"/>
      <w:r w:rsidRPr="00522894">
        <w:rPr>
          <w:lang w:val="en-US"/>
        </w:rPr>
        <w:t xml:space="preserve"> children’s channels on TV. </w:t>
      </w:r>
    </w:p>
    <w:p w14:paraId="7D122F44" w14:textId="77777777" w:rsidR="009B39AE" w:rsidRDefault="00522894" w:rsidP="00522894">
      <w:pPr>
        <w:rPr>
          <w:lang w:val="en-US"/>
        </w:rPr>
      </w:pPr>
      <w:r w:rsidRPr="00522894">
        <w:rPr>
          <w:lang w:val="en-US"/>
        </w:rPr>
        <w:lastRenderedPageBreak/>
        <w:t xml:space="preserve">There have been dramatic changes since her mum was a child. TV in Sweden is no longer synonymous with public service TV and SVT. With the introduction of commercial TV, a growing Swedish market for the commercial production of TV </w:t>
      </w:r>
      <w:proofErr w:type="spellStart"/>
      <w:r w:rsidRPr="00522894">
        <w:rPr>
          <w:lang w:val="en-US"/>
        </w:rPr>
        <w:t>programmes</w:t>
      </w:r>
      <w:proofErr w:type="spellEnd"/>
      <w:r w:rsidRPr="00522894">
        <w:rPr>
          <w:lang w:val="en-US"/>
        </w:rPr>
        <w:t xml:space="preserve"> have been established over the past two decades. </w:t>
      </w:r>
    </w:p>
    <w:p w14:paraId="3DAC44BB" w14:textId="77777777" w:rsidR="009B39AE" w:rsidRDefault="00522894" w:rsidP="00522894">
      <w:pPr>
        <w:rPr>
          <w:lang w:val="en-US"/>
        </w:rPr>
      </w:pPr>
      <w:r w:rsidRPr="00522894">
        <w:rPr>
          <w:lang w:val="en-US"/>
        </w:rPr>
        <w:t xml:space="preserve">Still however, until now, public service TV in Sweden and the broadcaster SVT has been thought of as one and the same. </w:t>
      </w:r>
    </w:p>
    <w:p w14:paraId="14D58BAF" w14:textId="77777777" w:rsidR="009B39AE" w:rsidRDefault="009B39AE" w:rsidP="009B39AE">
      <w:pPr>
        <w:pStyle w:val="Rubrik4"/>
        <w:rPr>
          <w:lang w:val="en-US"/>
        </w:rPr>
      </w:pPr>
      <w:r>
        <w:rPr>
          <w:lang w:val="en-US"/>
        </w:rPr>
        <w:t>Heading 4 Heading 4 Heading 4 Heading 4 Heading 4 Heading 4</w:t>
      </w:r>
    </w:p>
    <w:p w14:paraId="5F5C7291" w14:textId="77777777" w:rsidR="009B39AE" w:rsidRDefault="00522894" w:rsidP="009B39AE">
      <w:pPr>
        <w:rPr>
          <w:lang w:val="en-US"/>
        </w:rPr>
      </w:pPr>
      <w:r w:rsidRPr="00522894">
        <w:rPr>
          <w:lang w:val="en-US"/>
        </w:rPr>
        <w:t xml:space="preserve">This study takes place in a moment in time when this taken for granted connection slowly begins to be questioned. In the public debate about public service TV and SVT’s task as a public service TV broadcaster, producer and financer of Swedish public service TV </w:t>
      </w:r>
      <w:proofErr w:type="spellStart"/>
      <w:r w:rsidRPr="00522894">
        <w:rPr>
          <w:lang w:val="en-US"/>
        </w:rPr>
        <w:t>programmes</w:t>
      </w:r>
      <w:proofErr w:type="spellEnd"/>
      <w:r w:rsidRPr="00522894">
        <w:rPr>
          <w:lang w:val="en-US"/>
        </w:rPr>
        <w:t xml:space="preserve">, voices are beginning to question whether everything that SVT does automatically equals public service TV. </w:t>
      </w:r>
    </w:p>
    <w:p w14:paraId="78A41524" w14:textId="77777777" w:rsidR="009B39AE" w:rsidRPr="000A4258" w:rsidRDefault="00337DB3" w:rsidP="00337DB3">
      <w:pPr>
        <w:pStyle w:val="Quotealternative2"/>
      </w:pPr>
      <w:r>
        <w:t>“</w:t>
      </w:r>
      <w:r w:rsidR="00522894" w:rsidRPr="000A4258">
        <w:t xml:space="preserve">These voices are starting to whisper – in  tune with the contemporary ideas of marketisation and </w:t>
      </w:r>
      <w:proofErr w:type="spellStart"/>
      <w:r w:rsidR="00522894" w:rsidRPr="000A4258">
        <w:t>liberalisation</w:t>
      </w:r>
      <w:proofErr w:type="spellEnd"/>
      <w:r w:rsidR="00522894" w:rsidRPr="000A4258">
        <w:t xml:space="preserve"> – that the taken for granted enactor of public service TV, SVT, and the current system may not be the best way to </w:t>
      </w:r>
      <w:proofErr w:type="spellStart"/>
      <w:r w:rsidR="00522894" w:rsidRPr="000A4258">
        <w:t>organise</w:t>
      </w:r>
      <w:proofErr w:type="spellEnd"/>
      <w:r w:rsidR="00522894" w:rsidRPr="000A4258">
        <w:t xml:space="preserve"> things</w:t>
      </w:r>
      <w:r>
        <w:t>”</w:t>
      </w:r>
      <w:r w:rsidR="00522894" w:rsidRPr="000A4258">
        <w:t xml:space="preserve"> (</w:t>
      </w:r>
      <w:proofErr w:type="spellStart"/>
      <w:r w:rsidR="00522894" w:rsidRPr="000A4258">
        <w:t>e.g</w:t>
      </w:r>
      <w:proofErr w:type="spellEnd"/>
      <w:r w:rsidR="00522894" w:rsidRPr="000A4258">
        <w:t xml:space="preserve"> Berge &amp; </w:t>
      </w:r>
      <w:proofErr w:type="spellStart"/>
      <w:r w:rsidR="00522894" w:rsidRPr="000A4258">
        <w:t>Stegö</w:t>
      </w:r>
      <w:proofErr w:type="spellEnd"/>
      <w:r w:rsidR="00522894" w:rsidRPr="000A4258">
        <w:t xml:space="preserve"> </w:t>
      </w:r>
      <w:proofErr w:type="spellStart"/>
      <w:r w:rsidR="00522894" w:rsidRPr="000A4258">
        <w:t>Chilò</w:t>
      </w:r>
      <w:proofErr w:type="spellEnd"/>
      <w:r w:rsidR="00522894" w:rsidRPr="000A4258">
        <w:t xml:space="preserve">, 2011; </w:t>
      </w:r>
      <w:proofErr w:type="spellStart"/>
      <w:r w:rsidR="00522894" w:rsidRPr="000A4258">
        <w:t>Bernitz</w:t>
      </w:r>
      <w:proofErr w:type="spellEnd"/>
      <w:r w:rsidR="00522894" w:rsidRPr="000A4258">
        <w:t xml:space="preserve"> 2011; </w:t>
      </w:r>
      <w:proofErr w:type="spellStart"/>
      <w:r w:rsidR="00522894" w:rsidRPr="000A4258">
        <w:t>Sziga</w:t>
      </w:r>
      <w:proofErr w:type="spellEnd"/>
      <w:r w:rsidR="00522894" w:rsidRPr="000A4258">
        <w:t xml:space="preserve">, 2008). </w:t>
      </w:r>
    </w:p>
    <w:p w14:paraId="49CBF891" w14:textId="77777777" w:rsidR="0050633F" w:rsidRDefault="00522894" w:rsidP="00437778">
      <w:pPr>
        <w:pStyle w:val="Quotealternative1"/>
      </w:pPr>
      <w:r w:rsidRPr="00522894">
        <w:t xml:space="preserve">More public service TV </w:t>
      </w:r>
      <w:proofErr w:type="spellStart"/>
      <w:r w:rsidRPr="00522894">
        <w:t>programmes</w:t>
      </w:r>
      <w:proofErr w:type="spellEnd"/>
      <w:r w:rsidRPr="00522894">
        <w:t xml:space="preserve"> are being produced by producers external to SVT, in more market-type relations, financed not only by </w:t>
      </w:r>
      <w:proofErr w:type="spellStart"/>
      <w:r w:rsidRPr="00522894">
        <w:t>licence</w:t>
      </w:r>
      <w:proofErr w:type="spellEnd"/>
      <w:r w:rsidRPr="00522894">
        <w:t xml:space="preserve"> fee money but also by external funding, </w:t>
      </w:r>
      <w:proofErr w:type="gramStart"/>
      <w:r w:rsidRPr="00522894">
        <w:t>opening up</w:t>
      </w:r>
      <w:proofErr w:type="gramEnd"/>
      <w:r w:rsidRPr="00522894">
        <w:t xml:space="preserve"> the possibility for new actors to challenge, define and decide what public service TV should be. </w:t>
      </w:r>
    </w:p>
    <w:p w14:paraId="310BC17F" w14:textId="77777777" w:rsidR="0050633F" w:rsidRDefault="00673A07" w:rsidP="00437778">
      <w:pPr>
        <w:pStyle w:val="Quoteauthor"/>
      </w:pPr>
      <w:r>
        <w:t xml:space="preserve">Author </w:t>
      </w:r>
      <w:proofErr w:type="spellStart"/>
      <w:r>
        <w:t>Author</w:t>
      </w:r>
      <w:proofErr w:type="spellEnd"/>
    </w:p>
    <w:p w14:paraId="2B0AF16A" w14:textId="77777777" w:rsidR="00437778" w:rsidRDefault="00522894" w:rsidP="00673A07">
      <w:pPr>
        <w:rPr>
          <w:lang w:val="en-US"/>
        </w:rPr>
      </w:pPr>
      <w:r w:rsidRPr="00673A07">
        <w:rPr>
          <w:lang w:val="en-US"/>
        </w:rPr>
        <w:t xml:space="preserve">Even though the </w:t>
      </w:r>
      <w:proofErr w:type="spellStart"/>
      <w:r w:rsidRPr="00673A07">
        <w:rPr>
          <w:lang w:val="en-US"/>
        </w:rPr>
        <w:t>programmes</w:t>
      </w:r>
      <w:proofErr w:type="spellEnd"/>
      <w:r w:rsidRPr="00673A07">
        <w:rPr>
          <w:lang w:val="en-US"/>
        </w:rPr>
        <w:t xml:space="preserve"> produced in collaborations with actors external to SVT are still in the minority compared with the amount of </w:t>
      </w:r>
      <w:proofErr w:type="spellStart"/>
      <w:r w:rsidRPr="00673A07">
        <w:rPr>
          <w:lang w:val="en-US"/>
        </w:rPr>
        <w:t>programmes</w:t>
      </w:r>
      <w:proofErr w:type="spellEnd"/>
      <w:r w:rsidRPr="00673A07">
        <w:rPr>
          <w:lang w:val="en-US"/>
        </w:rPr>
        <w:t xml:space="preserve"> produced in house at SVT, they nevertheless are becoming settings in which the nature of public service TV is discussed, and where taken-for-granted associations are questioned. </w:t>
      </w:r>
    </w:p>
    <w:p w14:paraId="5DDC45E6" w14:textId="77777777" w:rsidR="00437778" w:rsidRPr="000A4258" w:rsidRDefault="00437778" w:rsidP="00EC46B0">
      <w:pPr>
        <w:pStyle w:val="Rubrik5"/>
        <w:rPr>
          <w:lang w:val="en-US"/>
        </w:rPr>
      </w:pPr>
      <w:r w:rsidRPr="000A4258">
        <w:rPr>
          <w:lang w:val="en-US"/>
        </w:rPr>
        <w:t xml:space="preserve">Heading 5 Heading 5 Heading 5 </w:t>
      </w:r>
      <w:r w:rsidR="007A5A7F" w:rsidRPr="000A4258">
        <w:rPr>
          <w:lang w:val="en-US"/>
        </w:rPr>
        <w:t>Heading</w:t>
      </w:r>
      <w:r w:rsidRPr="000A4258">
        <w:rPr>
          <w:lang w:val="en-US"/>
        </w:rPr>
        <w:t xml:space="preserve"> 5 Heading 5</w:t>
      </w:r>
    </w:p>
    <w:p w14:paraId="667272F3" w14:textId="77777777" w:rsidR="00522894" w:rsidRDefault="00522894" w:rsidP="00437778">
      <w:pPr>
        <w:rPr>
          <w:lang w:val="en-US"/>
        </w:rPr>
      </w:pPr>
      <w:r w:rsidRPr="00437778">
        <w:rPr>
          <w:lang w:val="en-US"/>
        </w:rPr>
        <w:t xml:space="preserve">These discussions are </w:t>
      </w:r>
      <w:proofErr w:type="spellStart"/>
      <w:r w:rsidRPr="00437778">
        <w:rPr>
          <w:lang w:val="en-US"/>
        </w:rPr>
        <w:t>fuelled</w:t>
      </w:r>
      <w:proofErr w:type="spellEnd"/>
      <w:r w:rsidRPr="00437778">
        <w:rPr>
          <w:lang w:val="en-US"/>
        </w:rPr>
        <w:t xml:space="preserve"> by the public debate about public service TV </w:t>
      </w:r>
      <w:proofErr w:type="gramStart"/>
      <w:r w:rsidRPr="00437778">
        <w:rPr>
          <w:lang w:val="en-US"/>
        </w:rPr>
        <w:t>and also</w:t>
      </w:r>
      <w:proofErr w:type="gramEnd"/>
      <w:r w:rsidRPr="00437778">
        <w:rPr>
          <w:lang w:val="en-US"/>
        </w:rPr>
        <w:t xml:space="preserve"> feedback into this debate.</w:t>
      </w:r>
    </w:p>
    <w:p w14:paraId="4FB0D1C8" w14:textId="77777777" w:rsidR="0073215A" w:rsidRPr="0073215A" w:rsidRDefault="0073215A" w:rsidP="0073215A">
      <w:pPr>
        <w:pStyle w:val="Rubrik3"/>
        <w:rPr>
          <w:lang w:val="en-US"/>
        </w:rPr>
      </w:pPr>
      <w:bookmarkStart w:id="7" w:name="_Toc467677103"/>
      <w:bookmarkStart w:id="8" w:name="_Toc471369996"/>
      <w:r w:rsidRPr="0073215A">
        <w:rPr>
          <w:lang w:val="en-US"/>
        </w:rPr>
        <w:lastRenderedPageBreak/>
        <w:t>Heading 3 Heading 3 Heading 3 Heading 3</w:t>
      </w:r>
      <w:bookmarkEnd w:id="7"/>
      <w:bookmarkEnd w:id="8"/>
      <w:r w:rsidRPr="0073215A">
        <w:rPr>
          <w:lang w:val="en-US"/>
        </w:rPr>
        <w:t xml:space="preserve"> </w:t>
      </w:r>
    </w:p>
    <w:p w14:paraId="4D6CC903" w14:textId="77777777" w:rsidR="00AB427F" w:rsidRDefault="0073215A" w:rsidP="00437778">
      <w:pPr>
        <w:rPr>
          <w:lang w:val="en-US"/>
        </w:rPr>
        <w:sectPr w:rsidR="00AB427F" w:rsidSect="00616BE0">
          <w:footerReference w:type="default" r:id="rId9"/>
          <w:footerReference w:type="first" r:id="rId10"/>
          <w:type w:val="oddPage"/>
          <w:pgSz w:w="11906" w:h="16838" w:code="9"/>
          <w:pgMar w:top="3005" w:right="3686" w:bottom="2778" w:left="1418" w:header="2552" w:footer="2325" w:gutter="0"/>
          <w:pgNumType w:start="1"/>
          <w:cols w:space="708"/>
          <w:docGrid w:linePitch="360"/>
        </w:sectPr>
      </w:pPr>
      <w:r w:rsidRPr="009B39AE">
        <w:rPr>
          <w:lang w:val="en-US"/>
        </w:rPr>
        <w:t xml:space="preserve">Three decades later, my little daughter has just discovered the joys of television. She however doesn’t have to wait in front of the TV for the children’s </w:t>
      </w:r>
      <w:proofErr w:type="spellStart"/>
      <w:r w:rsidRPr="009B39AE">
        <w:rPr>
          <w:lang w:val="en-US"/>
        </w:rPr>
        <w:t>programmes</w:t>
      </w:r>
      <w:proofErr w:type="spellEnd"/>
      <w:r w:rsidRPr="009B39AE">
        <w:rPr>
          <w:lang w:val="en-US"/>
        </w:rPr>
        <w:t xml:space="preserve"> to </w:t>
      </w:r>
      <w:proofErr w:type="gramStart"/>
      <w:r w:rsidRPr="009B39AE">
        <w:rPr>
          <w:lang w:val="en-US"/>
        </w:rPr>
        <w:t>start:</w:t>
      </w:r>
      <w:proofErr w:type="gramEnd"/>
      <w:r w:rsidRPr="009B39AE">
        <w:rPr>
          <w:lang w:val="en-US"/>
        </w:rPr>
        <w:t xml:space="preserve"> for her, a limitless supply of children’s content is available around the clock on the computer and the mobile phone, as well as on</w:t>
      </w:r>
      <w:r w:rsidRPr="00522894">
        <w:rPr>
          <w:lang w:val="en-US"/>
        </w:rPr>
        <w:t xml:space="preserve"> </w:t>
      </w:r>
      <w:proofErr w:type="spellStart"/>
      <w:r w:rsidRPr="00522894">
        <w:rPr>
          <w:lang w:val="en-US"/>
        </w:rPr>
        <w:t>special</w:t>
      </w:r>
      <w:r w:rsidR="00AB427F">
        <w:rPr>
          <w:lang w:val="en-US"/>
        </w:rPr>
        <w:t>ised</w:t>
      </w:r>
      <w:proofErr w:type="spellEnd"/>
      <w:r w:rsidR="00AB427F">
        <w:rPr>
          <w:lang w:val="en-US"/>
        </w:rPr>
        <w:t xml:space="preserve"> children’s channels on TV.</w:t>
      </w:r>
    </w:p>
    <w:p w14:paraId="61684C62" w14:textId="77777777" w:rsidR="00437778" w:rsidRDefault="00437778" w:rsidP="00437778">
      <w:pPr>
        <w:rPr>
          <w:lang w:val="en-US"/>
        </w:rPr>
        <w:sectPr w:rsidR="00437778" w:rsidSect="00AB427F">
          <w:pgSz w:w="11906" w:h="16838" w:code="9"/>
          <w:pgMar w:top="3005" w:right="3686" w:bottom="2778" w:left="1418" w:header="2552" w:footer="2325" w:gutter="0"/>
          <w:cols w:space="708"/>
          <w:titlePg/>
          <w:docGrid w:linePitch="360"/>
        </w:sectPr>
      </w:pPr>
    </w:p>
    <w:p w14:paraId="794732B3" w14:textId="77777777" w:rsidR="00437778" w:rsidRPr="00522894" w:rsidRDefault="00437778" w:rsidP="00437778">
      <w:pPr>
        <w:pStyle w:val="Rubrik1"/>
        <w:rPr>
          <w:lang w:val="en-US"/>
        </w:rPr>
      </w:pPr>
      <w:bookmarkStart w:id="9" w:name="_Toc467677104"/>
      <w:bookmarkStart w:id="10" w:name="_Toc471369997"/>
      <w:r>
        <w:rPr>
          <w:lang w:val="en-US"/>
        </w:rPr>
        <w:lastRenderedPageBreak/>
        <w:t>Heading 1 Heading 1 Heading 1 Heading 1</w:t>
      </w:r>
      <w:bookmarkEnd w:id="9"/>
      <w:bookmarkEnd w:id="10"/>
      <w:r>
        <w:rPr>
          <w:lang w:val="en-US"/>
        </w:rPr>
        <w:t xml:space="preserve"> </w:t>
      </w:r>
    </w:p>
    <w:p w14:paraId="3B70FAD5" w14:textId="77777777" w:rsidR="00437778" w:rsidRDefault="00437778" w:rsidP="00437778">
      <w:pPr>
        <w:rPr>
          <w:lang w:val="en-US"/>
        </w:rPr>
      </w:pPr>
      <w:r w:rsidRPr="00522894">
        <w:rPr>
          <w:lang w:val="en-US"/>
        </w:rPr>
        <w:t xml:space="preserve">When I grew up in Sweden in the 1980s, for me and those in my generation TV was equal to public service TV, which was equal to the public service broadcaster SVT, or as it was then called </w:t>
      </w:r>
      <w:proofErr w:type="spellStart"/>
      <w:r w:rsidRPr="00522894">
        <w:rPr>
          <w:lang w:val="en-US"/>
        </w:rPr>
        <w:t>Sveriges</w:t>
      </w:r>
      <w:proofErr w:type="spellEnd"/>
      <w:r w:rsidRPr="00522894">
        <w:rPr>
          <w:lang w:val="en-US"/>
        </w:rPr>
        <w:t xml:space="preserve"> Television (Sweden’s Television). If you watched TV you watched public service TV and you watched SVT, which were one and the same. TV was public service TV, which was SVT. This was during the last decade of the Swedish public service TV monopoly.  </w:t>
      </w:r>
    </w:p>
    <w:p w14:paraId="78539651" w14:textId="77777777" w:rsidR="00437778" w:rsidRDefault="00437778" w:rsidP="00437778">
      <w:pPr>
        <w:rPr>
          <w:lang w:val="en-US"/>
        </w:rPr>
      </w:pPr>
      <w:r w:rsidRPr="00522894">
        <w:rPr>
          <w:lang w:val="en-US"/>
        </w:rPr>
        <w:t xml:space="preserve">At the end of the 80s, the first Swedish advertising funded channel was launched by satellite from London in order to bypass Swedish legislation. I was unaware that this was to be the beginning of the end of the monopoly days as I sat in front of the TV eagerly awaiting the children’s </w:t>
      </w:r>
      <w:proofErr w:type="spellStart"/>
      <w:r w:rsidRPr="00522894">
        <w:rPr>
          <w:lang w:val="en-US"/>
        </w:rPr>
        <w:t>programmes</w:t>
      </w:r>
      <w:proofErr w:type="spellEnd"/>
      <w:r w:rsidRPr="00522894">
        <w:rPr>
          <w:lang w:val="en-US"/>
        </w:rPr>
        <w:t xml:space="preserve"> to start. </w:t>
      </w:r>
    </w:p>
    <w:p w14:paraId="39BA9291" w14:textId="77777777" w:rsidR="00437778" w:rsidRPr="00522894" w:rsidRDefault="00437778" w:rsidP="00437778">
      <w:pPr>
        <w:pStyle w:val="Rubrik2"/>
        <w:rPr>
          <w:lang w:val="en-US"/>
        </w:rPr>
      </w:pPr>
      <w:bookmarkStart w:id="11" w:name="_Toc467677105"/>
      <w:bookmarkStart w:id="12" w:name="_Toc471369998"/>
      <w:r>
        <w:rPr>
          <w:lang w:val="en-US"/>
        </w:rPr>
        <w:t>Heading 2 Heading 2 Heading 2 Heading 2 Heading 2</w:t>
      </w:r>
      <w:bookmarkEnd w:id="11"/>
      <w:bookmarkEnd w:id="12"/>
    </w:p>
    <w:p w14:paraId="4595A94E" w14:textId="77777777" w:rsidR="00437778" w:rsidRDefault="00437778" w:rsidP="00437778">
      <w:pPr>
        <w:rPr>
          <w:lang w:val="en-US"/>
        </w:rPr>
      </w:pPr>
      <w:r w:rsidRPr="00522894">
        <w:rPr>
          <w:lang w:val="en-US"/>
        </w:rPr>
        <w:t xml:space="preserve">I can remember it to this day: first there was the test card, then five minutes before it started an image with a clock appeared, and my brother and I started counting down. </w:t>
      </w:r>
      <w:r>
        <w:t xml:space="preserve">And </w:t>
      </w:r>
      <w:proofErr w:type="spellStart"/>
      <w:r>
        <w:t>then</w:t>
      </w:r>
      <w:proofErr w:type="spellEnd"/>
      <w:r>
        <w:t xml:space="preserve"> it </w:t>
      </w:r>
      <w:proofErr w:type="spellStart"/>
      <w:r>
        <w:t>began</w:t>
      </w:r>
      <w:proofErr w:type="spellEnd"/>
      <w:r>
        <w:t xml:space="preserve">: “Kom nu då! Vadå? Barnprogram på TV 2!”  </w:t>
      </w:r>
      <w:r w:rsidRPr="00522894">
        <w:rPr>
          <w:lang w:val="en-US"/>
        </w:rPr>
        <w:t xml:space="preserve">For a TV starved child in those days, for whom even the cartoon like episode in the weather forecast showing the times for sunrise and sunset was something fascinating, children’s </w:t>
      </w:r>
      <w:proofErr w:type="spellStart"/>
      <w:r w:rsidRPr="00522894">
        <w:rPr>
          <w:lang w:val="en-US"/>
        </w:rPr>
        <w:t>programmes</w:t>
      </w:r>
      <w:proofErr w:type="spellEnd"/>
      <w:r w:rsidRPr="00522894">
        <w:rPr>
          <w:lang w:val="en-US"/>
        </w:rPr>
        <w:t xml:space="preserve"> were the highlights of an ordinary day.</w:t>
      </w:r>
    </w:p>
    <w:p w14:paraId="198CED01" w14:textId="77777777" w:rsidR="00437778" w:rsidRPr="00437778" w:rsidRDefault="00437778" w:rsidP="00437778">
      <w:pPr>
        <w:pStyle w:val="Rubrik3"/>
        <w:rPr>
          <w:lang w:val="en-US"/>
        </w:rPr>
      </w:pPr>
      <w:bookmarkStart w:id="13" w:name="_Toc467677106"/>
      <w:bookmarkStart w:id="14" w:name="_Toc471369999"/>
      <w:r w:rsidRPr="00437778">
        <w:rPr>
          <w:lang w:val="en-US"/>
        </w:rPr>
        <w:t>Heading 3 Heading 3 Heading 3 Heading 3</w:t>
      </w:r>
      <w:bookmarkEnd w:id="13"/>
      <w:bookmarkEnd w:id="14"/>
      <w:r w:rsidRPr="00437778">
        <w:rPr>
          <w:lang w:val="en-US"/>
        </w:rPr>
        <w:t xml:space="preserve"> </w:t>
      </w:r>
    </w:p>
    <w:p w14:paraId="4E6D06C5" w14:textId="77777777" w:rsidR="00437778" w:rsidRDefault="00437778" w:rsidP="00437778">
      <w:pPr>
        <w:rPr>
          <w:lang w:val="en-US"/>
        </w:rPr>
      </w:pPr>
      <w:r w:rsidRPr="009B39AE">
        <w:rPr>
          <w:lang w:val="en-US"/>
        </w:rPr>
        <w:t xml:space="preserve">Three decades later, my little daughter has just discovered the joys of television. She however doesn’t have to wait in front of the TV for the children’s </w:t>
      </w:r>
      <w:proofErr w:type="spellStart"/>
      <w:r w:rsidRPr="009B39AE">
        <w:rPr>
          <w:lang w:val="en-US"/>
        </w:rPr>
        <w:t>programmes</w:t>
      </w:r>
      <w:proofErr w:type="spellEnd"/>
      <w:r w:rsidRPr="009B39AE">
        <w:rPr>
          <w:lang w:val="en-US"/>
        </w:rPr>
        <w:t xml:space="preserve"> to </w:t>
      </w:r>
      <w:proofErr w:type="gramStart"/>
      <w:r w:rsidRPr="009B39AE">
        <w:rPr>
          <w:lang w:val="en-US"/>
        </w:rPr>
        <w:t>start:</w:t>
      </w:r>
      <w:proofErr w:type="gramEnd"/>
      <w:r w:rsidRPr="009B39AE">
        <w:rPr>
          <w:lang w:val="en-US"/>
        </w:rPr>
        <w:t xml:space="preserve"> for her, a limitless supply of children’s content is available around the clock on the computer and the mobile phone, as well as on</w:t>
      </w:r>
      <w:r w:rsidRPr="00522894">
        <w:rPr>
          <w:lang w:val="en-US"/>
        </w:rPr>
        <w:t xml:space="preserve"> </w:t>
      </w:r>
      <w:proofErr w:type="spellStart"/>
      <w:r w:rsidRPr="00522894">
        <w:rPr>
          <w:lang w:val="en-US"/>
        </w:rPr>
        <w:t>specialised</w:t>
      </w:r>
      <w:proofErr w:type="spellEnd"/>
      <w:r w:rsidRPr="00522894">
        <w:rPr>
          <w:lang w:val="en-US"/>
        </w:rPr>
        <w:t xml:space="preserve"> children’s channels on TV. </w:t>
      </w:r>
    </w:p>
    <w:p w14:paraId="47A99160" w14:textId="77777777" w:rsidR="00437778" w:rsidRDefault="00437778" w:rsidP="00437778">
      <w:pPr>
        <w:rPr>
          <w:lang w:val="en-US"/>
        </w:rPr>
      </w:pPr>
      <w:r w:rsidRPr="00522894">
        <w:rPr>
          <w:lang w:val="en-US"/>
        </w:rPr>
        <w:lastRenderedPageBreak/>
        <w:t xml:space="preserve">There have been dramatic changes since her mum was a child. TV in Sweden is no longer synonymous with public service TV and SVT. With the introduction of commercial TV, a growing Swedish market for the commercial production of TV </w:t>
      </w:r>
      <w:proofErr w:type="spellStart"/>
      <w:r w:rsidRPr="00522894">
        <w:rPr>
          <w:lang w:val="en-US"/>
        </w:rPr>
        <w:t>programmes</w:t>
      </w:r>
      <w:proofErr w:type="spellEnd"/>
      <w:r w:rsidRPr="00522894">
        <w:rPr>
          <w:lang w:val="en-US"/>
        </w:rPr>
        <w:t xml:space="preserve"> have been established over the past two decades. </w:t>
      </w:r>
    </w:p>
    <w:p w14:paraId="4F3AF999" w14:textId="77777777" w:rsidR="00437778" w:rsidRDefault="00437778" w:rsidP="00437778">
      <w:pPr>
        <w:rPr>
          <w:lang w:val="en-US"/>
        </w:rPr>
      </w:pPr>
      <w:r w:rsidRPr="00522894">
        <w:rPr>
          <w:lang w:val="en-US"/>
        </w:rPr>
        <w:t xml:space="preserve">Still however, until now, public service TV in Sweden and the broadcaster SVT has been thought of as one and the same. </w:t>
      </w:r>
    </w:p>
    <w:p w14:paraId="248647BD" w14:textId="77777777" w:rsidR="00437778" w:rsidRDefault="00437778" w:rsidP="00437778">
      <w:pPr>
        <w:pStyle w:val="Rubrik4"/>
        <w:rPr>
          <w:lang w:val="en-US"/>
        </w:rPr>
      </w:pPr>
      <w:r>
        <w:rPr>
          <w:lang w:val="en-US"/>
        </w:rPr>
        <w:t>Heading 4 Heading 4 Heading 4 Heading 4 Heading 4 Heading 4</w:t>
      </w:r>
    </w:p>
    <w:p w14:paraId="4E7AD961" w14:textId="77777777" w:rsidR="00437778" w:rsidRDefault="00437778" w:rsidP="00437778">
      <w:pPr>
        <w:rPr>
          <w:lang w:val="en-US"/>
        </w:rPr>
      </w:pPr>
      <w:r w:rsidRPr="00522894">
        <w:rPr>
          <w:lang w:val="en-US"/>
        </w:rPr>
        <w:t xml:space="preserve">This study takes place in a moment in time when this taken for granted connection slowly begins to be questioned. In the public debate about public service TV and SVT’s task as a public service TV broadcaster, producer and financer of Swedish public service TV </w:t>
      </w:r>
      <w:proofErr w:type="spellStart"/>
      <w:r w:rsidRPr="00522894">
        <w:rPr>
          <w:lang w:val="en-US"/>
        </w:rPr>
        <w:t>programmes</w:t>
      </w:r>
      <w:proofErr w:type="spellEnd"/>
      <w:r w:rsidRPr="00522894">
        <w:rPr>
          <w:lang w:val="en-US"/>
        </w:rPr>
        <w:t xml:space="preserve">, voices are beginning to question whether everything that SVT does automatically equals public service TV. </w:t>
      </w:r>
    </w:p>
    <w:p w14:paraId="59F22F29" w14:textId="77777777" w:rsidR="00437778" w:rsidRPr="00437778" w:rsidRDefault="000A4258" w:rsidP="000A4258">
      <w:pPr>
        <w:pStyle w:val="Quotealternative2"/>
      </w:pPr>
      <w:r>
        <w:t>“</w:t>
      </w:r>
      <w:r w:rsidR="00437778" w:rsidRPr="00437778">
        <w:t xml:space="preserve">These voices are starting to whisper – in  tune with the contemporary ideas of marketisation and </w:t>
      </w:r>
      <w:proofErr w:type="spellStart"/>
      <w:r w:rsidR="00437778" w:rsidRPr="00437778">
        <w:t>liberalisation</w:t>
      </w:r>
      <w:proofErr w:type="spellEnd"/>
      <w:r w:rsidR="00437778" w:rsidRPr="00437778">
        <w:t xml:space="preserve"> – that the taken for granted enactor of public service TV, SVT, and the current system may not be the best way to </w:t>
      </w:r>
      <w:proofErr w:type="spellStart"/>
      <w:r w:rsidR="00437778" w:rsidRPr="00437778">
        <w:t>organise</w:t>
      </w:r>
      <w:proofErr w:type="spellEnd"/>
      <w:r w:rsidR="00437778" w:rsidRPr="00437778">
        <w:t xml:space="preserve"> things (</w:t>
      </w:r>
      <w:proofErr w:type="spellStart"/>
      <w:r w:rsidR="00437778" w:rsidRPr="00437778">
        <w:t>e.g</w:t>
      </w:r>
      <w:proofErr w:type="spellEnd"/>
      <w:r w:rsidR="00437778" w:rsidRPr="00437778">
        <w:t xml:space="preserve"> Berge &amp; </w:t>
      </w:r>
      <w:proofErr w:type="spellStart"/>
      <w:r w:rsidR="00437778" w:rsidRPr="00437778">
        <w:t>Stegö</w:t>
      </w:r>
      <w:proofErr w:type="spellEnd"/>
      <w:r w:rsidR="00437778" w:rsidRPr="00437778">
        <w:t xml:space="preserve"> </w:t>
      </w:r>
      <w:proofErr w:type="spellStart"/>
      <w:r w:rsidR="00437778" w:rsidRPr="00437778">
        <w:t>Chilò</w:t>
      </w:r>
      <w:proofErr w:type="spellEnd"/>
      <w:r w:rsidR="00437778" w:rsidRPr="00437778">
        <w:t xml:space="preserve">, 2011; </w:t>
      </w:r>
      <w:proofErr w:type="spellStart"/>
      <w:r w:rsidR="00437778" w:rsidRPr="00437778">
        <w:t>Bernitz</w:t>
      </w:r>
      <w:proofErr w:type="spellEnd"/>
      <w:r w:rsidR="00437778" w:rsidRPr="00437778">
        <w:t xml:space="preserve"> 2011; </w:t>
      </w:r>
      <w:proofErr w:type="spellStart"/>
      <w:r w:rsidR="00437778" w:rsidRPr="00437778">
        <w:t>Sziga</w:t>
      </w:r>
      <w:proofErr w:type="spellEnd"/>
      <w:r w:rsidR="00437778" w:rsidRPr="00437778">
        <w:t>, 2008).</w:t>
      </w:r>
      <w:r>
        <w:t>”</w:t>
      </w:r>
      <w:r w:rsidR="00437778" w:rsidRPr="00437778">
        <w:t xml:space="preserve"> </w:t>
      </w:r>
    </w:p>
    <w:p w14:paraId="3B081854" w14:textId="77777777" w:rsidR="00437778" w:rsidRDefault="00437778" w:rsidP="00437778">
      <w:pPr>
        <w:pStyle w:val="Quotealternative1"/>
      </w:pPr>
      <w:r w:rsidRPr="00522894">
        <w:t xml:space="preserve">More public service TV </w:t>
      </w:r>
      <w:proofErr w:type="spellStart"/>
      <w:r w:rsidRPr="00522894">
        <w:t>programmes</w:t>
      </w:r>
      <w:proofErr w:type="spellEnd"/>
      <w:r w:rsidRPr="00522894">
        <w:t xml:space="preserve"> are being produced by producers external to SVT, in more market-type relations, financed not only by </w:t>
      </w:r>
      <w:proofErr w:type="spellStart"/>
      <w:r w:rsidRPr="00522894">
        <w:t>licence</w:t>
      </w:r>
      <w:proofErr w:type="spellEnd"/>
      <w:r w:rsidRPr="00522894">
        <w:t xml:space="preserve"> fee money but also by external funding, </w:t>
      </w:r>
      <w:proofErr w:type="gramStart"/>
      <w:r w:rsidRPr="00522894">
        <w:t>opening up</w:t>
      </w:r>
      <w:proofErr w:type="gramEnd"/>
      <w:r w:rsidRPr="00522894">
        <w:t xml:space="preserve"> the possibility for new actors to challenge, define and decide what public service TV should be. </w:t>
      </w:r>
    </w:p>
    <w:p w14:paraId="409A1F97" w14:textId="77777777" w:rsidR="00437778" w:rsidRDefault="00437778" w:rsidP="00437778">
      <w:pPr>
        <w:pStyle w:val="Quoteauthor"/>
      </w:pPr>
      <w:r>
        <w:t xml:space="preserve">Author </w:t>
      </w:r>
      <w:proofErr w:type="spellStart"/>
      <w:r>
        <w:t>Author</w:t>
      </w:r>
      <w:proofErr w:type="spellEnd"/>
    </w:p>
    <w:p w14:paraId="73BAABDC" w14:textId="77777777" w:rsidR="00437778" w:rsidRDefault="00437778" w:rsidP="00437778">
      <w:pPr>
        <w:rPr>
          <w:lang w:val="en-US"/>
        </w:rPr>
      </w:pPr>
      <w:r w:rsidRPr="00673A07">
        <w:rPr>
          <w:lang w:val="en-US"/>
        </w:rPr>
        <w:t xml:space="preserve">Even though the </w:t>
      </w:r>
      <w:proofErr w:type="spellStart"/>
      <w:r w:rsidRPr="00673A07">
        <w:rPr>
          <w:lang w:val="en-US"/>
        </w:rPr>
        <w:t>programmes</w:t>
      </w:r>
      <w:proofErr w:type="spellEnd"/>
      <w:r w:rsidRPr="00673A07">
        <w:rPr>
          <w:lang w:val="en-US"/>
        </w:rPr>
        <w:t xml:space="preserve"> produced in collaborations with actors external to SVT are still in the minority compared with the amount of </w:t>
      </w:r>
      <w:proofErr w:type="spellStart"/>
      <w:r w:rsidRPr="00673A07">
        <w:rPr>
          <w:lang w:val="en-US"/>
        </w:rPr>
        <w:t>programmes</w:t>
      </w:r>
      <w:proofErr w:type="spellEnd"/>
      <w:r w:rsidRPr="00673A07">
        <w:rPr>
          <w:lang w:val="en-US"/>
        </w:rPr>
        <w:t xml:space="preserve"> produced in house at SVT, they nevertheless are becoming settings in which the nature of public service TV is discussed, and where taken-for-granted associations are questioned. </w:t>
      </w:r>
    </w:p>
    <w:p w14:paraId="5B60061D" w14:textId="77777777" w:rsidR="00437778" w:rsidRPr="00437778" w:rsidRDefault="00437778" w:rsidP="00437778">
      <w:pPr>
        <w:pStyle w:val="Rubrik5"/>
        <w:rPr>
          <w:lang w:val="en-US"/>
        </w:rPr>
      </w:pPr>
      <w:r w:rsidRPr="00437778">
        <w:rPr>
          <w:lang w:val="en-US"/>
        </w:rPr>
        <w:t>Headi</w:t>
      </w:r>
      <w:r w:rsidR="002F73E6">
        <w:rPr>
          <w:lang w:val="en-US"/>
        </w:rPr>
        <w:t>ng 5 Heading 5 Heading 5 Hea</w:t>
      </w:r>
      <w:r w:rsidRPr="00437778">
        <w:rPr>
          <w:lang w:val="en-US"/>
        </w:rPr>
        <w:t>ding 5 Heading 5</w:t>
      </w:r>
    </w:p>
    <w:p w14:paraId="0DD775A8" w14:textId="77777777" w:rsidR="00437778" w:rsidRDefault="00437778" w:rsidP="00437778">
      <w:pPr>
        <w:rPr>
          <w:lang w:val="en-US"/>
        </w:rPr>
      </w:pPr>
      <w:r w:rsidRPr="00437778">
        <w:rPr>
          <w:lang w:val="en-US"/>
        </w:rPr>
        <w:t xml:space="preserve">These discussions are </w:t>
      </w:r>
      <w:proofErr w:type="spellStart"/>
      <w:r w:rsidRPr="00437778">
        <w:rPr>
          <w:lang w:val="en-US"/>
        </w:rPr>
        <w:t>fuelled</w:t>
      </w:r>
      <w:proofErr w:type="spellEnd"/>
      <w:r w:rsidRPr="00437778">
        <w:rPr>
          <w:lang w:val="en-US"/>
        </w:rPr>
        <w:t xml:space="preserve"> by the public debate about public service TV </w:t>
      </w:r>
      <w:proofErr w:type="gramStart"/>
      <w:r w:rsidRPr="00437778">
        <w:rPr>
          <w:lang w:val="en-US"/>
        </w:rPr>
        <w:t>and also</w:t>
      </w:r>
      <w:proofErr w:type="gramEnd"/>
      <w:r w:rsidRPr="00437778">
        <w:rPr>
          <w:lang w:val="en-US"/>
        </w:rPr>
        <w:t xml:space="preserve"> feedback into this debate.</w:t>
      </w:r>
    </w:p>
    <w:p w14:paraId="1DC96FD2" w14:textId="77777777" w:rsidR="0073215A" w:rsidRPr="0073215A" w:rsidRDefault="0073215A" w:rsidP="0073215A">
      <w:pPr>
        <w:pStyle w:val="Rubrik3"/>
        <w:rPr>
          <w:lang w:val="en-US"/>
        </w:rPr>
      </w:pPr>
      <w:bookmarkStart w:id="15" w:name="_Toc467677107"/>
      <w:bookmarkStart w:id="16" w:name="_Toc471370000"/>
      <w:r w:rsidRPr="0073215A">
        <w:rPr>
          <w:lang w:val="en-US"/>
        </w:rPr>
        <w:lastRenderedPageBreak/>
        <w:t>Heading 3 Heading 3 Heading 3 Heading 3</w:t>
      </w:r>
      <w:bookmarkEnd w:id="15"/>
      <w:bookmarkEnd w:id="16"/>
      <w:r w:rsidRPr="0073215A">
        <w:rPr>
          <w:lang w:val="en-US"/>
        </w:rPr>
        <w:t xml:space="preserve"> </w:t>
      </w:r>
    </w:p>
    <w:p w14:paraId="53D39132" w14:textId="77777777" w:rsidR="0073215A" w:rsidRDefault="0073215A" w:rsidP="00B81022">
      <w:pPr>
        <w:rPr>
          <w:lang w:val="en-US"/>
        </w:rPr>
      </w:pPr>
      <w:r w:rsidRPr="009B39AE">
        <w:rPr>
          <w:lang w:val="en-US"/>
        </w:rPr>
        <w:t xml:space="preserve">Three decades later, my little daughter has just discovered the joys of television. She however doesn’t have to wait in front of the TV for the children’s </w:t>
      </w:r>
      <w:proofErr w:type="spellStart"/>
      <w:r w:rsidRPr="009B39AE">
        <w:rPr>
          <w:lang w:val="en-US"/>
        </w:rPr>
        <w:t>programmes</w:t>
      </w:r>
      <w:proofErr w:type="spellEnd"/>
      <w:r w:rsidRPr="009B39AE">
        <w:rPr>
          <w:lang w:val="en-US"/>
        </w:rPr>
        <w:t xml:space="preserve"> to </w:t>
      </w:r>
      <w:proofErr w:type="gramStart"/>
      <w:r w:rsidRPr="009B39AE">
        <w:rPr>
          <w:lang w:val="en-US"/>
        </w:rPr>
        <w:t>start:</w:t>
      </w:r>
      <w:proofErr w:type="gramEnd"/>
      <w:r w:rsidRPr="009B39AE">
        <w:rPr>
          <w:lang w:val="en-US"/>
        </w:rPr>
        <w:t xml:space="preserve"> for her, a limitless supply of children’s content is available around the clock on the computer and the mobile phone, as well as on</w:t>
      </w:r>
      <w:r w:rsidRPr="00522894">
        <w:rPr>
          <w:lang w:val="en-US"/>
        </w:rPr>
        <w:t xml:space="preserve"> </w:t>
      </w:r>
      <w:proofErr w:type="spellStart"/>
      <w:r w:rsidRPr="00522894">
        <w:rPr>
          <w:lang w:val="en-US"/>
        </w:rPr>
        <w:t>specialised</w:t>
      </w:r>
      <w:proofErr w:type="spellEnd"/>
      <w:r w:rsidRPr="00522894">
        <w:rPr>
          <w:lang w:val="en-US"/>
        </w:rPr>
        <w:t xml:space="preserve"> children’s channels on TV. </w:t>
      </w:r>
    </w:p>
    <w:p w14:paraId="7676170F" w14:textId="77777777" w:rsidR="0073215A" w:rsidRDefault="0073215A" w:rsidP="0073215A">
      <w:pPr>
        <w:rPr>
          <w:lang w:val="en-US"/>
        </w:rPr>
      </w:pPr>
      <w:r w:rsidRPr="00522894">
        <w:rPr>
          <w:lang w:val="en-US"/>
        </w:rPr>
        <w:t>There have been dramatic changes since her mum was a child. TV in Sweden is no longer synonymous with public service TV and SVT. With the introduction of commercial TV, a growing Swedish market for the commercial</w:t>
      </w:r>
    </w:p>
    <w:p w14:paraId="2B5F89DF" w14:textId="77777777" w:rsidR="00256B28" w:rsidRDefault="00256B28" w:rsidP="00256B28">
      <w:pPr>
        <w:pStyle w:val="TableFigureHeader"/>
      </w:pPr>
      <w:r>
        <w:t xml:space="preserve">Table 1. </w:t>
      </w:r>
      <w:proofErr w:type="spellStart"/>
      <w:r>
        <w:t>Xxxx</w:t>
      </w:r>
      <w:proofErr w:type="spellEnd"/>
      <w:r>
        <w:t xml:space="preserve"> xxx </w:t>
      </w:r>
      <w:proofErr w:type="spellStart"/>
      <w:r>
        <w:t>xxxx</w:t>
      </w:r>
      <w:proofErr w:type="spellEnd"/>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34"/>
        <w:gridCol w:w="2041"/>
      </w:tblGrid>
      <w:tr w:rsidR="00256B28" w:rsidRPr="00D673EE" w14:paraId="3702F555" w14:textId="77777777" w:rsidTr="00256B28">
        <w:trPr>
          <w:jc w:val="center"/>
        </w:trPr>
        <w:tc>
          <w:tcPr>
            <w:tcW w:w="4734" w:type="dxa"/>
          </w:tcPr>
          <w:p w14:paraId="0B38E763" w14:textId="77777777" w:rsidR="00256B28" w:rsidRPr="003F6764" w:rsidRDefault="00256B28" w:rsidP="003F6764">
            <w:pPr>
              <w:pStyle w:val="Tabletext"/>
            </w:pPr>
            <w:r w:rsidRPr="003F6764">
              <w:t xml:space="preserve">Hours of </w:t>
            </w:r>
            <w:proofErr w:type="gramStart"/>
            <w:r w:rsidRPr="003F6764">
              <w:t>first time</w:t>
            </w:r>
            <w:proofErr w:type="gramEnd"/>
            <w:r w:rsidRPr="003F6764">
              <w:t xml:space="preserve"> broadcast content</w:t>
            </w:r>
          </w:p>
        </w:tc>
        <w:tc>
          <w:tcPr>
            <w:tcW w:w="2041" w:type="dxa"/>
          </w:tcPr>
          <w:p w14:paraId="21117D5C" w14:textId="77777777" w:rsidR="00256B28" w:rsidRPr="003F6764" w:rsidRDefault="00256B28" w:rsidP="003F6764">
            <w:pPr>
              <w:pStyle w:val="Tabletext"/>
            </w:pPr>
          </w:p>
        </w:tc>
      </w:tr>
      <w:tr w:rsidR="00256B28" w:rsidRPr="005F244A" w14:paraId="18D1F2DD" w14:textId="77777777" w:rsidTr="00256B28">
        <w:trPr>
          <w:jc w:val="center"/>
        </w:trPr>
        <w:tc>
          <w:tcPr>
            <w:tcW w:w="4734" w:type="dxa"/>
          </w:tcPr>
          <w:p w14:paraId="078A9F97" w14:textId="77777777" w:rsidR="00256B28" w:rsidRPr="003F6764" w:rsidRDefault="00256B28" w:rsidP="003F6764">
            <w:pPr>
              <w:pStyle w:val="Tabletext"/>
            </w:pPr>
            <w:r w:rsidRPr="003F6764">
              <w:t>Production</w:t>
            </w:r>
          </w:p>
        </w:tc>
        <w:tc>
          <w:tcPr>
            <w:tcW w:w="2041" w:type="dxa"/>
          </w:tcPr>
          <w:p w14:paraId="6C1911EF" w14:textId="77777777" w:rsidR="00256B28" w:rsidRPr="003F6764" w:rsidRDefault="00256B28" w:rsidP="003F6764">
            <w:pPr>
              <w:pStyle w:val="Tabletext"/>
            </w:pPr>
          </w:p>
        </w:tc>
      </w:tr>
      <w:tr w:rsidR="00256B28" w:rsidRPr="005F244A" w14:paraId="05A3CF4F" w14:textId="77777777" w:rsidTr="00256B28">
        <w:trPr>
          <w:jc w:val="center"/>
        </w:trPr>
        <w:tc>
          <w:tcPr>
            <w:tcW w:w="4734" w:type="dxa"/>
          </w:tcPr>
          <w:p w14:paraId="495ED7A2" w14:textId="77777777" w:rsidR="00256B28" w:rsidRPr="003F6764" w:rsidRDefault="00256B28" w:rsidP="003F6764">
            <w:pPr>
              <w:pStyle w:val="Tabletext"/>
            </w:pPr>
            <w:r w:rsidRPr="003F6764">
              <w:t>In-house productions</w:t>
            </w:r>
          </w:p>
        </w:tc>
        <w:tc>
          <w:tcPr>
            <w:tcW w:w="2041" w:type="dxa"/>
          </w:tcPr>
          <w:p w14:paraId="56834967" w14:textId="77777777" w:rsidR="00256B28" w:rsidRPr="003F6764" w:rsidRDefault="00256B28" w:rsidP="003F6764">
            <w:pPr>
              <w:pStyle w:val="Tabletext"/>
            </w:pPr>
            <w:r w:rsidRPr="003F6764">
              <w:t>64%</w:t>
            </w:r>
          </w:p>
        </w:tc>
      </w:tr>
      <w:tr w:rsidR="00256B28" w:rsidRPr="005F244A" w14:paraId="321635CE" w14:textId="77777777" w:rsidTr="00256B28">
        <w:trPr>
          <w:jc w:val="center"/>
        </w:trPr>
        <w:tc>
          <w:tcPr>
            <w:tcW w:w="4734" w:type="dxa"/>
          </w:tcPr>
          <w:p w14:paraId="7854C9D6" w14:textId="77777777" w:rsidR="00256B28" w:rsidRPr="003F6764" w:rsidRDefault="00256B28" w:rsidP="003F6764">
            <w:pPr>
              <w:pStyle w:val="Tabletext"/>
            </w:pPr>
            <w:r w:rsidRPr="003F6764">
              <w:t xml:space="preserve">Production outlays </w:t>
            </w:r>
          </w:p>
        </w:tc>
        <w:tc>
          <w:tcPr>
            <w:tcW w:w="2041" w:type="dxa"/>
          </w:tcPr>
          <w:p w14:paraId="67D00329" w14:textId="77777777" w:rsidR="00256B28" w:rsidRPr="003F6764" w:rsidRDefault="00256B28" w:rsidP="003F6764">
            <w:pPr>
              <w:pStyle w:val="Tabletext"/>
            </w:pPr>
            <w:r w:rsidRPr="003F6764">
              <w:t>2%</w:t>
            </w:r>
          </w:p>
        </w:tc>
      </w:tr>
      <w:tr w:rsidR="00256B28" w:rsidRPr="005F244A" w14:paraId="4F209F0E" w14:textId="77777777" w:rsidTr="00256B28">
        <w:trPr>
          <w:jc w:val="center"/>
        </w:trPr>
        <w:tc>
          <w:tcPr>
            <w:tcW w:w="4734" w:type="dxa"/>
          </w:tcPr>
          <w:p w14:paraId="191AE79F" w14:textId="77777777" w:rsidR="00256B28" w:rsidRPr="003F6764" w:rsidRDefault="00256B28" w:rsidP="003F6764">
            <w:pPr>
              <w:pStyle w:val="Tabletext"/>
            </w:pPr>
            <w:r w:rsidRPr="003F6764">
              <w:t>Swedish co-productions (co-financed)</w:t>
            </w:r>
          </w:p>
        </w:tc>
        <w:tc>
          <w:tcPr>
            <w:tcW w:w="2041" w:type="dxa"/>
          </w:tcPr>
          <w:p w14:paraId="383472B0" w14:textId="77777777" w:rsidR="00256B28" w:rsidRPr="003F6764" w:rsidRDefault="00256B28" w:rsidP="003F6764">
            <w:pPr>
              <w:pStyle w:val="Tabletext"/>
            </w:pPr>
            <w:r w:rsidRPr="003F6764">
              <w:t>2.5 %</w:t>
            </w:r>
          </w:p>
        </w:tc>
      </w:tr>
      <w:tr w:rsidR="00256B28" w:rsidRPr="005F244A" w14:paraId="630129B6" w14:textId="77777777" w:rsidTr="00256B28">
        <w:trPr>
          <w:jc w:val="center"/>
        </w:trPr>
        <w:tc>
          <w:tcPr>
            <w:tcW w:w="4734" w:type="dxa"/>
          </w:tcPr>
          <w:p w14:paraId="3182C31D" w14:textId="77777777" w:rsidR="00256B28" w:rsidRPr="003F6764" w:rsidRDefault="00256B28" w:rsidP="003F6764">
            <w:pPr>
              <w:pStyle w:val="Tabletext"/>
            </w:pPr>
            <w:r w:rsidRPr="003F6764">
              <w:t>International co-productions (co-financed)</w:t>
            </w:r>
          </w:p>
        </w:tc>
        <w:tc>
          <w:tcPr>
            <w:tcW w:w="2041" w:type="dxa"/>
          </w:tcPr>
          <w:p w14:paraId="00840003" w14:textId="77777777" w:rsidR="00256B28" w:rsidRPr="003F6764" w:rsidRDefault="00256B28" w:rsidP="003F6764">
            <w:pPr>
              <w:pStyle w:val="Tabletext"/>
            </w:pPr>
            <w:r w:rsidRPr="003F6764">
              <w:t>0.5%</w:t>
            </w:r>
          </w:p>
        </w:tc>
      </w:tr>
      <w:tr w:rsidR="00256B28" w:rsidRPr="005F244A" w14:paraId="4D143929" w14:textId="77777777" w:rsidTr="00256B28">
        <w:trPr>
          <w:jc w:val="center"/>
        </w:trPr>
        <w:tc>
          <w:tcPr>
            <w:tcW w:w="4734" w:type="dxa"/>
          </w:tcPr>
          <w:p w14:paraId="3EAA14EB" w14:textId="77777777" w:rsidR="00256B28" w:rsidRPr="003F6764" w:rsidRDefault="00256B28" w:rsidP="003F6764">
            <w:pPr>
              <w:pStyle w:val="Tabletext"/>
            </w:pPr>
            <w:r w:rsidRPr="003F6764">
              <w:t>Acquisition</w:t>
            </w:r>
          </w:p>
        </w:tc>
        <w:tc>
          <w:tcPr>
            <w:tcW w:w="2041" w:type="dxa"/>
          </w:tcPr>
          <w:p w14:paraId="1DF14C99" w14:textId="77777777" w:rsidR="00256B28" w:rsidRPr="003F6764" w:rsidRDefault="00256B28" w:rsidP="003F6764">
            <w:pPr>
              <w:pStyle w:val="Tabletext"/>
            </w:pPr>
          </w:p>
        </w:tc>
      </w:tr>
      <w:tr w:rsidR="00256B28" w:rsidRPr="005F244A" w14:paraId="0322DA5A" w14:textId="77777777" w:rsidTr="00256B28">
        <w:trPr>
          <w:jc w:val="center"/>
        </w:trPr>
        <w:tc>
          <w:tcPr>
            <w:tcW w:w="4734" w:type="dxa"/>
          </w:tcPr>
          <w:p w14:paraId="1BE1C0D9" w14:textId="77777777" w:rsidR="00256B28" w:rsidRPr="003F6764" w:rsidRDefault="00256B28" w:rsidP="003F6764">
            <w:pPr>
              <w:pStyle w:val="Tabletext"/>
            </w:pPr>
            <w:r w:rsidRPr="003F6764">
              <w:t xml:space="preserve">Swedish acquisitions </w:t>
            </w:r>
          </w:p>
        </w:tc>
        <w:tc>
          <w:tcPr>
            <w:tcW w:w="2041" w:type="dxa"/>
          </w:tcPr>
          <w:p w14:paraId="3EB00E56" w14:textId="77777777" w:rsidR="00256B28" w:rsidRPr="003F6764" w:rsidRDefault="00256B28" w:rsidP="003F6764">
            <w:pPr>
              <w:pStyle w:val="Tabletext"/>
            </w:pPr>
            <w:r w:rsidRPr="003F6764">
              <w:t>1%</w:t>
            </w:r>
          </w:p>
        </w:tc>
      </w:tr>
      <w:tr w:rsidR="00256B28" w:rsidRPr="005F244A" w14:paraId="50FD3DC1" w14:textId="77777777" w:rsidTr="00256B28">
        <w:trPr>
          <w:jc w:val="center"/>
        </w:trPr>
        <w:tc>
          <w:tcPr>
            <w:tcW w:w="4734" w:type="dxa"/>
          </w:tcPr>
          <w:p w14:paraId="6B1F71C1" w14:textId="77777777" w:rsidR="00256B28" w:rsidRPr="003F6764" w:rsidRDefault="00256B28" w:rsidP="003F6764">
            <w:pPr>
              <w:pStyle w:val="Tabletext"/>
            </w:pPr>
            <w:r w:rsidRPr="003F6764">
              <w:t xml:space="preserve">International acquisitions </w:t>
            </w:r>
          </w:p>
        </w:tc>
        <w:tc>
          <w:tcPr>
            <w:tcW w:w="2041" w:type="dxa"/>
          </w:tcPr>
          <w:p w14:paraId="305BE8C3" w14:textId="77777777" w:rsidR="00256B28" w:rsidRPr="003F6764" w:rsidRDefault="00256B28" w:rsidP="003F6764">
            <w:pPr>
              <w:pStyle w:val="Tabletext"/>
            </w:pPr>
            <w:r w:rsidRPr="003F6764">
              <w:t>30%</w:t>
            </w:r>
          </w:p>
        </w:tc>
      </w:tr>
      <w:tr w:rsidR="00256B28" w:rsidRPr="005F244A" w14:paraId="465102BB" w14:textId="77777777" w:rsidTr="00256B28">
        <w:trPr>
          <w:jc w:val="center"/>
        </w:trPr>
        <w:tc>
          <w:tcPr>
            <w:tcW w:w="4734" w:type="dxa"/>
          </w:tcPr>
          <w:p w14:paraId="1E3708CE" w14:textId="77777777" w:rsidR="00256B28" w:rsidRPr="003F6764" w:rsidRDefault="00256B28" w:rsidP="003F6764">
            <w:pPr>
              <w:pStyle w:val="Tabletext"/>
            </w:pPr>
            <w:r w:rsidRPr="003F6764">
              <w:t>Total time broadcast</w:t>
            </w:r>
          </w:p>
        </w:tc>
        <w:tc>
          <w:tcPr>
            <w:tcW w:w="2041" w:type="dxa"/>
          </w:tcPr>
          <w:p w14:paraId="40598BB2" w14:textId="77777777" w:rsidR="00256B28" w:rsidRPr="003F6764" w:rsidRDefault="00256B28" w:rsidP="003F6764">
            <w:pPr>
              <w:pStyle w:val="Tabletext"/>
            </w:pPr>
            <w:r w:rsidRPr="003F6764">
              <w:t>100%</w:t>
            </w:r>
          </w:p>
        </w:tc>
      </w:tr>
    </w:tbl>
    <w:p w14:paraId="2CE29C52" w14:textId="77777777" w:rsidR="00256B28" w:rsidRDefault="00256B28" w:rsidP="0073215A">
      <w:pPr>
        <w:rPr>
          <w:lang w:val="en-US"/>
        </w:rPr>
      </w:pPr>
    </w:p>
    <w:p w14:paraId="0C93CE35" w14:textId="77777777" w:rsidR="00256B28" w:rsidRDefault="00256B28" w:rsidP="00256B28">
      <w:pPr>
        <w:rPr>
          <w:lang w:val="en-US"/>
        </w:rPr>
      </w:pPr>
      <w:r w:rsidRPr="00522894">
        <w:rPr>
          <w:lang w:val="en-US"/>
        </w:rPr>
        <w:t>There have been dramatic changes since her mum was a child. TV in Sweden is no longer synonymous with public service TV and SVT. With the introduction of commercial TV, a growing Swedish market for the commercial</w:t>
      </w:r>
    </w:p>
    <w:p w14:paraId="1D5A879F" w14:textId="77777777" w:rsidR="00256B28" w:rsidRDefault="00256B28" w:rsidP="0073215A">
      <w:pPr>
        <w:rPr>
          <w:lang w:val="en-US"/>
        </w:rPr>
      </w:pPr>
    </w:p>
    <w:p w14:paraId="3511935D" w14:textId="77777777" w:rsidR="00256B28" w:rsidRDefault="00256B28" w:rsidP="0073215A">
      <w:pPr>
        <w:rPr>
          <w:lang w:val="en-US"/>
        </w:rPr>
      </w:pPr>
      <w:r w:rsidRPr="00CA25E1">
        <w:rPr>
          <w:noProof/>
          <w:lang w:eastAsia="sv-SE"/>
        </w:rPr>
        <w:lastRenderedPageBreak/>
        <w:drawing>
          <wp:inline distT="0" distB="0" distL="0" distR="0" wp14:anchorId="4921ABD4" wp14:editId="2BC9CF77">
            <wp:extent cx="4132053" cy="1699404"/>
            <wp:effectExtent l="0" t="0" r="0" b="0"/>
            <wp:docPr id="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E4F1DE3" w14:textId="77777777" w:rsidR="00256B28" w:rsidRDefault="00256B28" w:rsidP="0052090A">
      <w:pPr>
        <w:pStyle w:val="TableFigureHeader"/>
      </w:pPr>
      <w:r>
        <w:t xml:space="preserve">Figure 1 </w:t>
      </w:r>
      <w:r w:rsidR="007A5A7F">
        <w:t>Institutions and action</w:t>
      </w:r>
    </w:p>
    <w:p w14:paraId="3C3A9C21" w14:textId="77777777" w:rsidR="00256B28" w:rsidRDefault="00256B28" w:rsidP="003F6764">
      <w:pPr>
        <w:pStyle w:val="Quotealternative1"/>
      </w:pPr>
      <w:r w:rsidRPr="00522894">
        <w:t>There have been dramatic changes since her mum was a child. TV in Sweden is no longer synonymous with public service TV and SVT. With the introduction of commercial TV, a growing Swedish market for the commercial</w:t>
      </w:r>
    </w:p>
    <w:p w14:paraId="2F8471D6" w14:textId="77777777" w:rsidR="00256B28" w:rsidRDefault="00256B28" w:rsidP="0073215A">
      <w:pPr>
        <w:rPr>
          <w:lang w:val="en-US"/>
        </w:rPr>
      </w:pPr>
    </w:p>
    <w:p w14:paraId="070FDC0A" w14:textId="77777777" w:rsidR="00437778" w:rsidRDefault="00437778" w:rsidP="00437778">
      <w:pPr>
        <w:rPr>
          <w:lang w:val="en-US"/>
        </w:rPr>
      </w:pPr>
    </w:p>
    <w:p w14:paraId="06790F14" w14:textId="77777777" w:rsidR="0073215A" w:rsidRDefault="0073215A" w:rsidP="000C46CD">
      <w:pPr>
        <w:rPr>
          <w:lang w:val="en-US"/>
        </w:rPr>
        <w:sectPr w:rsidR="0073215A" w:rsidSect="00437778">
          <w:headerReference w:type="default" r:id="rId16"/>
          <w:type w:val="oddPage"/>
          <w:pgSz w:w="11906" w:h="16838" w:code="9"/>
          <w:pgMar w:top="3005" w:right="3686" w:bottom="2778" w:left="1418" w:header="2552" w:footer="2325" w:gutter="0"/>
          <w:cols w:space="708"/>
          <w:titlePg/>
          <w:docGrid w:linePitch="360"/>
        </w:sectPr>
      </w:pPr>
    </w:p>
    <w:p w14:paraId="6D442284" w14:textId="77777777" w:rsidR="0073215A" w:rsidRDefault="001726FD" w:rsidP="001726FD">
      <w:pPr>
        <w:pStyle w:val="Rubrik1"/>
      </w:pPr>
      <w:bookmarkStart w:id="17" w:name="_Toc467677108"/>
      <w:bookmarkStart w:id="18" w:name="_Toc471370001"/>
      <w:r>
        <w:lastRenderedPageBreak/>
        <w:t>Referenser</w:t>
      </w:r>
      <w:bookmarkEnd w:id="17"/>
      <w:bookmarkEnd w:id="18"/>
    </w:p>
    <w:p w14:paraId="69ED2141" w14:textId="77777777" w:rsidR="00747C7B" w:rsidRPr="00747C7B" w:rsidRDefault="00747C7B" w:rsidP="00747C7B"/>
    <w:sectPr w:rsidR="00747C7B" w:rsidRPr="00747C7B" w:rsidSect="00437778">
      <w:headerReference w:type="first" r:id="rId17"/>
      <w:type w:val="oddPage"/>
      <w:pgSz w:w="11906" w:h="16838" w:code="9"/>
      <w:pgMar w:top="3005" w:right="3686" w:bottom="2778" w:left="1418" w:header="2552" w:footer="23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9BBAD" w14:textId="77777777" w:rsidR="00217354" w:rsidRDefault="00217354" w:rsidP="00D439B5">
      <w:r>
        <w:separator/>
      </w:r>
    </w:p>
    <w:p w14:paraId="48E1A92C" w14:textId="77777777" w:rsidR="00217354" w:rsidRDefault="00217354"/>
    <w:p w14:paraId="1423E836" w14:textId="77777777" w:rsidR="00217354" w:rsidRDefault="00217354"/>
    <w:p w14:paraId="40901052" w14:textId="77777777" w:rsidR="00217354" w:rsidRDefault="00217354"/>
    <w:p w14:paraId="71CEF62C" w14:textId="77777777" w:rsidR="00217354" w:rsidRDefault="00217354"/>
  </w:endnote>
  <w:endnote w:type="continuationSeparator" w:id="0">
    <w:p w14:paraId="0AA8C392" w14:textId="77777777" w:rsidR="00217354" w:rsidRDefault="00217354" w:rsidP="00D439B5">
      <w:r>
        <w:continuationSeparator/>
      </w:r>
    </w:p>
    <w:p w14:paraId="07636CA4" w14:textId="77777777" w:rsidR="00217354" w:rsidRDefault="00217354"/>
    <w:p w14:paraId="0C4B96B0" w14:textId="77777777" w:rsidR="00217354" w:rsidRDefault="00217354"/>
    <w:p w14:paraId="4AE09FE0" w14:textId="77777777" w:rsidR="00217354" w:rsidRDefault="00217354"/>
    <w:p w14:paraId="26622839" w14:textId="77777777" w:rsidR="00217354" w:rsidRDefault="00217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ntonSans Light">
    <w:panose1 w:val="02000503000000020004"/>
    <w:charset w:val="00"/>
    <w:family w:val="modern"/>
    <w:notTrueType/>
    <w:pitch w:val="variable"/>
    <w:sig w:usb0="800000A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BentonSans Regular">
    <w:panose1 w:val="02000503000000020004"/>
    <w:charset w:val="00"/>
    <w:family w:val="modern"/>
    <w:notTrueType/>
    <w:pitch w:val="variable"/>
    <w:sig w:usb0="800000AF" w:usb1="5000204A" w:usb2="00000000" w:usb3="00000000" w:csb0="00000001" w:csb1="00000000"/>
  </w:font>
  <w:font w:name="ScalaOT">
    <w:panose1 w:val="02010504040101020102"/>
    <w:charset w:val="00"/>
    <w:family w:val="modern"/>
    <w:notTrueType/>
    <w:pitch w:val="variable"/>
    <w:sig w:usb0="800000EF" w:usb1="5000E05B"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159CF" w14:textId="77777777" w:rsidR="00134E97" w:rsidRDefault="00134E97">
    <w:pPr>
      <w:pStyle w:val="Sidfot"/>
      <w:jc w:val="right"/>
    </w:pPr>
  </w:p>
  <w:p w14:paraId="6DAF0A73" w14:textId="77777777" w:rsidR="00134E97" w:rsidRDefault="00134E9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397C" w14:textId="77777777" w:rsidR="00C8042A" w:rsidRPr="008316C1" w:rsidRDefault="00C8042A" w:rsidP="00F9183D">
    <w:pPr>
      <w:pStyle w:val="Sidfot"/>
      <w:jc w:val="both"/>
      <w:rPr>
        <w:rFonts w:ascii="ScalaOT" w:hAnsi="ScalaO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3820393"/>
      <w:docPartObj>
        <w:docPartGallery w:val="Page Numbers (Bottom of Page)"/>
        <w:docPartUnique/>
      </w:docPartObj>
    </w:sdtPr>
    <w:sdtEndPr/>
    <w:sdtContent>
      <w:p w14:paraId="302430D5" w14:textId="77777777" w:rsidR="00430304" w:rsidRDefault="00430304">
        <w:pPr>
          <w:pStyle w:val="Sidfot"/>
        </w:pPr>
        <w:r>
          <w:fldChar w:fldCharType="begin"/>
        </w:r>
        <w:r>
          <w:instrText>PAGE   \* MERGEFORMAT</w:instrText>
        </w:r>
        <w:r>
          <w:fldChar w:fldCharType="separate"/>
        </w:r>
        <w:r w:rsidR="00747C7B">
          <w:rPr>
            <w:noProof/>
          </w:rPr>
          <w:t>7</w:t>
        </w:r>
        <w:r>
          <w:fldChar w:fldCharType="end"/>
        </w:r>
      </w:p>
    </w:sdtContent>
  </w:sdt>
  <w:p w14:paraId="77722747" w14:textId="77777777" w:rsidR="00AA2B68" w:rsidRDefault="00AA2B68">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157317"/>
      <w:docPartObj>
        <w:docPartGallery w:val="Page Numbers (Bottom of Page)"/>
        <w:docPartUnique/>
      </w:docPartObj>
    </w:sdtPr>
    <w:sdtEndPr/>
    <w:sdtContent>
      <w:p w14:paraId="1D69BE2F" w14:textId="77777777" w:rsidR="005C309E" w:rsidRDefault="005C309E">
        <w:pPr>
          <w:pStyle w:val="Sidfot"/>
        </w:pPr>
        <w:r>
          <w:fldChar w:fldCharType="begin"/>
        </w:r>
        <w:r>
          <w:instrText>PAGE   \* MERGEFORMAT</w:instrText>
        </w:r>
        <w:r>
          <w:fldChar w:fldCharType="separate"/>
        </w:r>
        <w:r w:rsidR="00747C7B">
          <w:rPr>
            <w:noProof/>
          </w:rPr>
          <w:t>5</w:t>
        </w:r>
        <w:r>
          <w:fldChar w:fldCharType="end"/>
        </w:r>
      </w:p>
    </w:sdtContent>
  </w:sdt>
  <w:p w14:paraId="7CB1C00D" w14:textId="77777777" w:rsidR="00134E97" w:rsidRPr="008316C1" w:rsidRDefault="00134E97" w:rsidP="00F9183D">
    <w:pPr>
      <w:pStyle w:val="Sidfot"/>
      <w:jc w:val="both"/>
      <w:rPr>
        <w:rFonts w:ascii="ScalaOT" w:hAnsi="ScalaO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8CDD6" w14:textId="77777777" w:rsidR="00217354" w:rsidRDefault="00217354" w:rsidP="00D439B5">
      <w:r>
        <w:separator/>
      </w:r>
    </w:p>
    <w:p w14:paraId="506D8121" w14:textId="77777777" w:rsidR="00217354" w:rsidRDefault="00217354"/>
    <w:p w14:paraId="13FFA888" w14:textId="77777777" w:rsidR="00217354" w:rsidRDefault="00217354"/>
    <w:p w14:paraId="51F11F34" w14:textId="77777777" w:rsidR="00217354" w:rsidRDefault="00217354"/>
    <w:p w14:paraId="2A46F7C4" w14:textId="77777777" w:rsidR="00217354" w:rsidRDefault="00217354"/>
  </w:footnote>
  <w:footnote w:type="continuationSeparator" w:id="0">
    <w:p w14:paraId="1AF7124D" w14:textId="77777777" w:rsidR="00217354" w:rsidRDefault="00217354" w:rsidP="00D439B5">
      <w:r>
        <w:continuationSeparator/>
      </w:r>
    </w:p>
    <w:p w14:paraId="1385E5B9" w14:textId="77777777" w:rsidR="00217354" w:rsidRDefault="00217354"/>
    <w:p w14:paraId="12CAA434" w14:textId="77777777" w:rsidR="00217354" w:rsidRDefault="00217354"/>
    <w:p w14:paraId="030A2900" w14:textId="77777777" w:rsidR="00217354" w:rsidRDefault="00217354"/>
    <w:p w14:paraId="37D38AC4" w14:textId="77777777" w:rsidR="00217354" w:rsidRDefault="00217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6274B" w14:textId="77777777" w:rsidR="00C8042A" w:rsidRPr="0073215A" w:rsidRDefault="00C8042A" w:rsidP="0073215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4DA74" w14:textId="77777777" w:rsidR="00C8042A" w:rsidRDefault="00C8042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2E0"/>
    <w:rsid w:val="00021E86"/>
    <w:rsid w:val="0005267F"/>
    <w:rsid w:val="000A3094"/>
    <w:rsid w:val="000A4258"/>
    <w:rsid w:val="000C46CD"/>
    <w:rsid w:val="000E3420"/>
    <w:rsid w:val="00106110"/>
    <w:rsid w:val="00134E97"/>
    <w:rsid w:val="0015767B"/>
    <w:rsid w:val="001726FD"/>
    <w:rsid w:val="00192747"/>
    <w:rsid w:val="001978D3"/>
    <w:rsid w:val="001A50A2"/>
    <w:rsid w:val="001C7A3F"/>
    <w:rsid w:val="001E1200"/>
    <w:rsid w:val="001F1CD7"/>
    <w:rsid w:val="001F305F"/>
    <w:rsid w:val="00217354"/>
    <w:rsid w:val="0024581D"/>
    <w:rsid w:val="00254814"/>
    <w:rsid w:val="00256B28"/>
    <w:rsid w:val="002F73E6"/>
    <w:rsid w:val="003168B4"/>
    <w:rsid w:val="003202EB"/>
    <w:rsid w:val="0033407C"/>
    <w:rsid w:val="00337DB3"/>
    <w:rsid w:val="003A59B5"/>
    <w:rsid w:val="003F57F2"/>
    <w:rsid w:val="003F6764"/>
    <w:rsid w:val="004238CD"/>
    <w:rsid w:val="00430304"/>
    <w:rsid w:val="00437778"/>
    <w:rsid w:val="00441EAC"/>
    <w:rsid w:val="004A2BC8"/>
    <w:rsid w:val="004A5E01"/>
    <w:rsid w:val="004C6F6D"/>
    <w:rsid w:val="004F2672"/>
    <w:rsid w:val="0050633F"/>
    <w:rsid w:val="0052090A"/>
    <w:rsid w:val="00522894"/>
    <w:rsid w:val="00541DA9"/>
    <w:rsid w:val="005826C9"/>
    <w:rsid w:val="005C309E"/>
    <w:rsid w:val="005C7959"/>
    <w:rsid w:val="005D3FDD"/>
    <w:rsid w:val="005F65AA"/>
    <w:rsid w:val="00616BE0"/>
    <w:rsid w:val="00655BF2"/>
    <w:rsid w:val="006729F8"/>
    <w:rsid w:val="00673A07"/>
    <w:rsid w:val="00686EA1"/>
    <w:rsid w:val="00687C2C"/>
    <w:rsid w:val="00731A45"/>
    <w:rsid w:val="0073215A"/>
    <w:rsid w:val="00747C7B"/>
    <w:rsid w:val="007A5A7F"/>
    <w:rsid w:val="007C4367"/>
    <w:rsid w:val="007D7864"/>
    <w:rsid w:val="00800A66"/>
    <w:rsid w:val="0082379D"/>
    <w:rsid w:val="008316C1"/>
    <w:rsid w:val="00836961"/>
    <w:rsid w:val="00837951"/>
    <w:rsid w:val="00876259"/>
    <w:rsid w:val="0089620A"/>
    <w:rsid w:val="008B5656"/>
    <w:rsid w:val="008F78DC"/>
    <w:rsid w:val="00905107"/>
    <w:rsid w:val="009B39AE"/>
    <w:rsid w:val="009B668D"/>
    <w:rsid w:val="009C5159"/>
    <w:rsid w:val="009D45B4"/>
    <w:rsid w:val="009D7E15"/>
    <w:rsid w:val="009E21D4"/>
    <w:rsid w:val="009F0141"/>
    <w:rsid w:val="009F617F"/>
    <w:rsid w:val="00A25504"/>
    <w:rsid w:val="00A73E5C"/>
    <w:rsid w:val="00AA2B68"/>
    <w:rsid w:val="00AA7B38"/>
    <w:rsid w:val="00AB427F"/>
    <w:rsid w:val="00AB55A8"/>
    <w:rsid w:val="00AE35F4"/>
    <w:rsid w:val="00AF565C"/>
    <w:rsid w:val="00B81022"/>
    <w:rsid w:val="00BE7022"/>
    <w:rsid w:val="00C8042A"/>
    <w:rsid w:val="00CD0D51"/>
    <w:rsid w:val="00D0562F"/>
    <w:rsid w:val="00D07D5B"/>
    <w:rsid w:val="00D439B5"/>
    <w:rsid w:val="00D673EE"/>
    <w:rsid w:val="00D679BE"/>
    <w:rsid w:val="00DC3B7A"/>
    <w:rsid w:val="00DE12ED"/>
    <w:rsid w:val="00E2193F"/>
    <w:rsid w:val="00E448E0"/>
    <w:rsid w:val="00EC46B0"/>
    <w:rsid w:val="00EE44CA"/>
    <w:rsid w:val="00F032E0"/>
    <w:rsid w:val="00F40D42"/>
    <w:rsid w:val="00F465A0"/>
    <w:rsid w:val="00F70596"/>
    <w:rsid w:val="00F7396E"/>
    <w:rsid w:val="00F846A3"/>
    <w:rsid w:val="00F9183D"/>
    <w:rsid w:val="00FB6920"/>
    <w:rsid w:val="00FD116E"/>
    <w:rsid w:val="00FD1ACC"/>
    <w:rsid w:val="00FE4118"/>
    <w:rsid w:val="00FF1F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FE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46B0"/>
    <w:pPr>
      <w:spacing w:after="0"/>
      <w:jc w:val="both"/>
    </w:pPr>
    <w:rPr>
      <w:rFonts w:ascii="Times New Roman" w:hAnsi="Times New Roman"/>
    </w:rPr>
  </w:style>
  <w:style w:type="paragraph" w:styleId="Rubrik1">
    <w:name w:val="heading 1"/>
    <w:basedOn w:val="Normal"/>
    <w:next w:val="Normal"/>
    <w:link w:val="Rubrik1Char"/>
    <w:uiPriority w:val="9"/>
    <w:qFormat/>
    <w:rsid w:val="00EC46B0"/>
    <w:pPr>
      <w:keepNext/>
      <w:keepLines/>
      <w:spacing w:before="400" w:after="400"/>
      <w:contextualSpacing/>
      <w:outlineLvl w:val="0"/>
    </w:pPr>
    <w:rPr>
      <w:rFonts w:ascii="Arial" w:eastAsiaTheme="majorEastAsia" w:hAnsi="Arial" w:cstheme="majorBidi"/>
      <w:bCs/>
      <w:kern w:val="28"/>
      <w:sz w:val="40"/>
      <w:szCs w:val="28"/>
    </w:rPr>
  </w:style>
  <w:style w:type="paragraph" w:styleId="Rubrik2">
    <w:name w:val="heading 2"/>
    <w:basedOn w:val="Normal"/>
    <w:next w:val="Normal"/>
    <w:link w:val="Rubrik2Char"/>
    <w:uiPriority w:val="9"/>
    <w:unhideWhenUsed/>
    <w:qFormat/>
    <w:rsid w:val="00EC46B0"/>
    <w:pPr>
      <w:keepNext/>
      <w:keepLines/>
      <w:spacing w:before="400" w:after="280"/>
      <w:jc w:val="left"/>
      <w:outlineLvl w:val="1"/>
    </w:pPr>
    <w:rPr>
      <w:rFonts w:ascii="Arial" w:eastAsiaTheme="majorEastAsia" w:hAnsi="Arial" w:cstheme="majorBidi"/>
      <w:bCs/>
      <w:sz w:val="28"/>
      <w:szCs w:val="26"/>
    </w:rPr>
  </w:style>
  <w:style w:type="paragraph" w:styleId="Rubrik3">
    <w:name w:val="heading 3"/>
    <w:basedOn w:val="Normal"/>
    <w:next w:val="Normal"/>
    <w:link w:val="Rubrik3Char"/>
    <w:uiPriority w:val="9"/>
    <w:unhideWhenUsed/>
    <w:qFormat/>
    <w:rsid w:val="005D3FDD"/>
    <w:pPr>
      <w:keepNext/>
      <w:keepLines/>
      <w:spacing w:before="360" w:after="160"/>
      <w:ind w:left="851" w:hanging="851"/>
      <w:jc w:val="left"/>
      <w:outlineLvl w:val="2"/>
    </w:pPr>
    <w:rPr>
      <w:rFonts w:ascii="Arial" w:eastAsiaTheme="majorEastAsia" w:hAnsi="Arial" w:cstheme="majorBidi"/>
      <w:bCs/>
      <w:i/>
      <w:sz w:val="24"/>
    </w:rPr>
  </w:style>
  <w:style w:type="paragraph" w:styleId="Rubrik4">
    <w:name w:val="heading 4"/>
    <w:basedOn w:val="Normal"/>
    <w:next w:val="Normal"/>
    <w:link w:val="Rubrik4Char"/>
    <w:uiPriority w:val="9"/>
    <w:unhideWhenUsed/>
    <w:qFormat/>
    <w:rsid w:val="00EC46B0"/>
    <w:pPr>
      <w:keepNext/>
      <w:keepLines/>
      <w:spacing w:before="280" w:after="80"/>
      <w:ind w:left="851" w:hanging="851"/>
      <w:jc w:val="left"/>
      <w:outlineLvl w:val="3"/>
    </w:pPr>
    <w:rPr>
      <w:rFonts w:ascii="Arial" w:eastAsiaTheme="majorEastAsia" w:hAnsi="Arial" w:cstheme="majorBidi"/>
      <w:bCs/>
      <w:iCs/>
    </w:rPr>
  </w:style>
  <w:style w:type="paragraph" w:styleId="Rubrik5">
    <w:name w:val="heading 5"/>
    <w:basedOn w:val="Normal"/>
    <w:next w:val="Normal"/>
    <w:link w:val="Rubrik5Char"/>
    <w:uiPriority w:val="9"/>
    <w:unhideWhenUsed/>
    <w:qFormat/>
    <w:rsid w:val="005D3FDD"/>
    <w:pPr>
      <w:keepNext/>
      <w:keepLines/>
      <w:spacing w:before="280" w:after="80"/>
      <w:ind w:left="851" w:hanging="851"/>
      <w:jc w:val="left"/>
      <w:outlineLvl w:val="4"/>
    </w:pPr>
    <w:rPr>
      <w:rFonts w:ascii="Arial" w:eastAsiaTheme="majorEastAsia" w:hAnsi="Arial" w:cstheme="majorBidi"/>
      <w:i/>
      <w:sz w:val="20"/>
    </w:rPr>
  </w:style>
  <w:style w:type="paragraph" w:styleId="Rubrik6">
    <w:name w:val="heading 6"/>
    <w:basedOn w:val="Normal"/>
    <w:next w:val="Normal"/>
    <w:link w:val="Rubrik6Char"/>
    <w:uiPriority w:val="9"/>
    <w:unhideWhenUsed/>
    <w:rsid w:val="00EC46B0"/>
    <w:pPr>
      <w:keepNext/>
      <w:keepLines/>
      <w:spacing w:before="40"/>
      <w:outlineLvl w:val="5"/>
    </w:pPr>
    <w:rPr>
      <w:rFonts w:ascii="Arial" w:eastAsiaTheme="majorEastAsia" w:hAnsi="Arial"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E12ED"/>
    <w:pPr>
      <w:tabs>
        <w:tab w:val="center" w:pos="4536"/>
        <w:tab w:val="right" w:pos="9072"/>
      </w:tabs>
      <w:jc w:val="center"/>
    </w:pPr>
    <w:rPr>
      <w:rFonts w:ascii="BentonSans Light" w:hAnsi="BentonSans Light"/>
      <w:i/>
      <w:sz w:val="16"/>
    </w:rPr>
  </w:style>
  <w:style w:type="character" w:customStyle="1" w:styleId="SidhuvudChar">
    <w:name w:val="Sidhuvud Char"/>
    <w:basedOn w:val="Standardstycketeckensnitt"/>
    <w:link w:val="Sidhuvud"/>
    <w:uiPriority w:val="99"/>
    <w:rsid w:val="00DE12ED"/>
    <w:rPr>
      <w:rFonts w:ascii="BentonSans Light" w:hAnsi="BentonSans Light"/>
      <w:i/>
      <w:sz w:val="16"/>
    </w:rPr>
  </w:style>
  <w:style w:type="paragraph" w:styleId="Sidfot">
    <w:name w:val="footer"/>
    <w:basedOn w:val="Normal"/>
    <w:link w:val="SidfotChar"/>
    <w:uiPriority w:val="99"/>
    <w:unhideWhenUsed/>
    <w:rsid w:val="00DE12ED"/>
    <w:pPr>
      <w:tabs>
        <w:tab w:val="center" w:pos="4536"/>
        <w:tab w:val="right" w:pos="9072"/>
      </w:tabs>
      <w:jc w:val="center"/>
    </w:pPr>
    <w:rPr>
      <w:rFonts w:ascii="Arial" w:hAnsi="Arial"/>
      <w:sz w:val="20"/>
    </w:rPr>
  </w:style>
  <w:style w:type="character" w:customStyle="1" w:styleId="SidfotChar">
    <w:name w:val="Sidfot Char"/>
    <w:basedOn w:val="Standardstycketeckensnitt"/>
    <w:link w:val="Sidfot"/>
    <w:uiPriority w:val="99"/>
    <w:rsid w:val="00DE12ED"/>
    <w:rPr>
      <w:rFonts w:ascii="Arial" w:hAnsi="Arial"/>
      <w:sz w:val="20"/>
    </w:rPr>
  </w:style>
  <w:style w:type="paragraph" w:styleId="Innehllsfrteckningsrubrik">
    <w:name w:val="TOC Heading"/>
    <w:basedOn w:val="Rubrik1"/>
    <w:next w:val="Normal"/>
    <w:uiPriority w:val="39"/>
    <w:unhideWhenUsed/>
    <w:qFormat/>
    <w:rsid w:val="00EC46B0"/>
    <w:pPr>
      <w:spacing w:before="240" w:after="0" w:line="259" w:lineRule="auto"/>
      <w:contextualSpacing w:val="0"/>
      <w:jc w:val="left"/>
      <w:outlineLvl w:val="9"/>
    </w:pPr>
    <w:rPr>
      <w:rFonts w:ascii="Times New Roman" w:hAnsi="Times New Roman"/>
      <w:bCs w:val="0"/>
      <w:kern w:val="0"/>
      <w:sz w:val="32"/>
      <w:szCs w:val="32"/>
      <w:lang w:val="en-US"/>
    </w:rPr>
  </w:style>
  <w:style w:type="character" w:customStyle="1" w:styleId="Rubrik1Char">
    <w:name w:val="Rubrik 1 Char"/>
    <w:basedOn w:val="Standardstycketeckensnitt"/>
    <w:link w:val="Rubrik1"/>
    <w:uiPriority w:val="9"/>
    <w:rsid w:val="00EC46B0"/>
    <w:rPr>
      <w:rFonts w:ascii="Arial" w:eastAsiaTheme="majorEastAsia" w:hAnsi="Arial" w:cstheme="majorBidi"/>
      <w:bCs/>
      <w:kern w:val="28"/>
      <w:sz w:val="40"/>
      <w:szCs w:val="28"/>
    </w:rPr>
  </w:style>
  <w:style w:type="character" w:customStyle="1" w:styleId="Rubrik2Char">
    <w:name w:val="Rubrik 2 Char"/>
    <w:basedOn w:val="Standardstycketeckensnitt"/>
    <w:link w:val="Rubrik2"/>
    <w:uiPriority w:val="9"/>
    <w:rsid w:val="00EC46B0"/>
    <w:rPr>
      <w:rFonts w:ascii="Arial" w:eastAsiaTheme="majorEastAsia" w:hAnsi="Arial" w:cstheme="majorBidi"/>
      <w:bCs/>
      <w:sz w:val="28"/>
      <w:szCs w:val="26"/>
    </w:rPr>
  </w:style>
  <w:style w:type="character" w:customStyle="1" w:styleId="Rubrik3Char">
    <w:name w:val="Rubrik 3 Char"/>
    <w:basedOn w:val="Standardstycketeckensnitt"/>
    <w:link w:val="Rubrik3"/>
    <w:uiPriority w:val="9"/>
    <w:rsid w:val="005D3FDD"/>
    <w:rPr>
      <w:rFonts w:ascii="Arial" w:eastAsiaTheme="majorEastAsia" w:hAnsi="Arial" w:cstheme="majorBidi"/>
      <w:bCs/>
      <w:i/>
      <w:sz w:val="24"/>
    </w:rPr>
  </w:style>
  <w:style w:type="character" w:customStyle="1" w:styleId="Rubrik4Char">
    <w:name w:val="Rubrik 4 Char"/>
    <w:basedOn w:val="Standardstycketeckensnitt"/>
    <w:link w:val="Rubrik4"/>
    <w:uiPriority w:val="9"/>
    <w:rsid w:val="00EC46B0"/>
    <w:rPr>
      <w:rFonts w:ascii="Arial" w:eastAsiaTheme="majorEastAsia" w:hAnsi="Arial" w:cstheme="majorBidi"/>
      <w:bCs/>
      <w:iCs/>
    </w:rPr>
  </w:style>
  <w:style w:type="paragraph" w:customStyle="1" w:styleId="Quotealternative1">
    <w:name w:val="Quote alternative 1"/>
    <w:basedOn w:val="Normal"/>
    <w:qFormat/>
    <w:rsid w:val="004238CD"/>
    <w:pPr>
      <w:spacing w:before="200" w:after="40"/>
      <w:ind w:left="284" w:right="284"/>
    </w:pPr>
    <w:rPr>
      <w:i/>
      <w:sz w:val="20"/>
      <w:lang w:val="en-US"/>
    </w:rPr>
  </w:style>
  <w:style w:type="paragraph" w:customStyle="1" w:styleId="Quoteauthor">
    <w:name w:val="Quote author"/>
    <w:basedOn w:val="Quotealternative1"/>
    <w:qFormat/>
    <w:rsid w:val="004238CD"/>
    <w:pPr>
      <w:spacing w:before="0" w:after="160"/>
      <w:jc w:val="right"/>
    </w:pPr>
  </w:style>
  <w:style w:type="character" w:customStyle="1" w:styleId="Rubrik5Char">
    <w:name w:val="Rubrik 5 Char"/>
    <w:basedOn w:val="Standardstycketeckensnitt"/>
    <w:link w:val="Rubrik5"/>
    <w:uiPriority w:val="9"/>
    <w:rsid w:val="005D3FDD"/>
    <w:rPr>
      <w:rFonts w:ascii="Arial" w:eastAsiaTheme="majorEastAsia" w:hAnsi="Arial" w:cstheme="majorBidi"/>
      <w:i/>
      <w:sz w:val="20"/>
    </w:rPr>
  </w:style>
  <w:style w:type="paragraph" w:styleId="Ballongtext">
    <w:name w:val="Balloon Text"/>
    <w:basedOn w:val="Normal"/>
    <w:link w:val="BallongtextChar"/>
    <w:uiPriority w:val="99"/>
    <w:semiHidden/>
    <w:unhideWhenUsed/>
    <w:rsid w:val="002F73E6"/>
    <w:rPr>
      <w:rFonts w:ascii="Tahoma" w:hAnsi="Tahoma" w:cs="Tahoma"/>
      <w:sz w:val="16"/>
      <w:szCs w:val="16"/>
    </w:rPr>
  </w:style>
  <w:style w:type="character" w:customStyle="1" w:styleId="BallongtextChar">
    <w:name w:val="Ballongtext Char"/>
    <w:basedOn w:val="Standardstycketeckensnitt"/>
    <w:link w:val="Ballongtext"/>
    <w:uiPriority w:val="99"/>
    <w:semiHidden/>
    <w:rsid w:val="002F73E6"/>
    <w:rPr>
      <w:rFonts w:ascii="Tahoma" w:hAnsi="Tahoma" w:cs="Tahoma"/>
      <w:sz w:val="16"/>
      <w:szCs w:val="16"/>
    </w:rPr>
  </w:style>
  <w:style w:type="paragraph" w:customStyle="1" w:styleId="Normalwithindent">
    <w:name w:val="Normal with indent"/>
    <w:basedOn w:val="Normal"/>
    <w:autoRedefine/>
    <w:qFormat/>
    <w:rsid w:val="003F6764"/>
    <w:pPr>
      <w:ind w:firstLine="284"/>
    </w:pPr>
    <w:rPr>
      <w:lang w:val="en-US"/>
    </w:rPr>
  </w:style>
  <w:style w:type="paragraph" w:customStyle="1" w:styleId="Secondpagetext">
    <w:name w:val="Second page text"/>
    <w:basedOn w:val="Normal"/>
    <w:qFormat/>
    <w:rsid w:val="008F78DC"/>
    <w:rPr>
      <w:rFonts w:eastAsia="Times New Roman" w:cs="Times New Roman"/>
      <w:sz w:val="20"/>
      <w:szCs w:val="20"/>
      <w:lang w:val="en-US"/>
    </w:rPr>
  </w:style>
  <w:style w:type="paragraph" w:customStyle="1" w:styleId="TableFigureHeader">
    <w:name w:val="Table/Figure Header"/>
    <w:basedOn w:val="Normal"/>
    <w:qFormat/>
    <w:rsid w:val="0052090A"/>
    <w:pPr>
      <w:spacing w:before="240" w:after="240"/>
      <w:jc w:val="left"/>
    </w:pPr>
    <w:rPr>
      <w:rFonts w:ascii="Arial" w:hAnsi="Arial"/>
      <w:sz w:val="20"/>
      <w:lang w:val="en-US"/>
    </w:rPr>
  </w:style>
  <w:style w:type="paragraph" w:styleId="Innehll2">
    <w:name w:val="toc 2"/>
    <w:basedOn w:val="Normal"/>
    <w:next w:val="Normal"/>
    <w:autoRedefine/>
    <w:uiPriority w:val="39"/>
    <w:unhideWhenUsed/>
    <w:rsid w:val="00876259"/>
    <w:pPr>
      <w:spacing w:after="100"/>
      <w:ind w:left="220"/>
    </w:pPr>
  </w:style>
  <w:style w:type="paragraph" w:styleId="Innehll1">
    <w:name w:val="toc 1"/>
    <w:basedOn w:val="Normal"/>
    <w:next w:val="Normal"/>
    <w:autoRedefine/>
    <w:uiPriority w:val="39"/>
    <w:unhideWhenUsed/>
    <w:rsid w:val="00876259"/>
    <w:pPr>
      <w:spacing w:after="100"/>
    </w:pPr>
  </w:style>
  <w:style w:type="paragraph" w:styleId="Innehll3">
    <w:name w:val="toc 3"/>
    <w:basedOn w:val="Normal"/>
    <w:next w:val="Normal"/>
    <w:autoRedefine/>
    <w:uiPriority w:val="39"/>
    <w:unhideWhenUsed/>
    <w:rsid w:val="00876259"/>
    <w:pPr>
      <w:spacing w:after="100"/>
      <w:ind w:left="440"/>
    </w:pPr>
  </w:style>
  <w:style w:type="character" w:styleId="Hyperlnk">
    <w:name w:val="Hyperlink"/>
    <w:aliases w:val="Table of contents text"/>
    <w:basedOn w:val="Standardstycketeckensnitt"/>
    <w:uiPriority w:val="99"/>
    <w:unhideWhenUsed/>
    <w:rsid w:val="00876259"/>
    <w:rPr>
      <w:color w:val="0000FF" w:themeColor="hyperlink"/>
      <w:u w:val="single"/>
    </w:rPr>
  </w:style>
  <w:style w:type="paragraph" w:customStyle="1" w:styleId="Quotealternative2">
    <w:name w:val="Quote alternative 2"/>
    <w:basedOn w:val="Normal"/>
    <w:qFormat/>
    <w:rsid w:val="00337DB3"/>
    <w:pPr>
      <w:spacing w:before="200" w:after="200"/>
      <w:ind w:left="284" w:right="284"/>
    </w:pPr>
    <w:rPr>
      <w:iCs/>
      <w:color w:val="000000" w:themeColor="text1"/>
      <w:sz w:val="20"/>
      <w:lang w:val="en-US"/>
    </w:rPr>
  </w:style>
  <w:style w:type="paragraph" w:customStyle="1" w:styleId="Tabletext">
    <w:name w:val="Table text"/>
    <w:basedOn w:val="Normal"/>
    <w:qFormat/>
    <w:rsid w:val="00BE7022"/>
    <w:rPr>
      <w:rFonts w:ascii="Arial" w:hAnsi="Arial" w:cs="Arial"/>
      <w:sz w:val="20"/>
      <w:lang w:val="en-US"/>
    </w:rPr>
  </w:style>
  <w:style w:type="paragraph" w:customStyle="1" w:styleId="Parttitle">
    <w:name w:val="Part title"/>
    <w:basedOn w:val="Normal"/>
    <w:autoRedefine/>
    <w:qFormat/>
    <w:rsid w:val="00EC46B0"/>
    <w:pPr>
      <w:spacing w:after="400"/>
      <w:jc w:val="left"/>
    </w:pPr>
    <w:rPr>
      <w:rFonts w:ascii="Arial" w:hAnsi="Arial"/>
      <w:sz w:val="32"/>
      <w:lang w:val="en-US"/>
    </w:rPr>
  </w:style>
  <w:style w:type="paragraph" w:customStyle="1" w:styleId="Partlistofarticles">
    <w:name w:val="Part list of articles"/>
    <w:basedOn w:val="Normal"/>
    <w:autoRedefine/>
    <w:qFormat/>
    <w:rsid w:val="003F6764"/>
    <w:pPr>
      <w:jc w:val="left"/>
    </w:pPr>
    <w:rPr>
      <w:rFonts w:ascii="Arial" w:hAnsi="Arial"/>
      <w:lang w:val="en-US"/>
    </w:rPr>
  </w:style>
  <w:style w:type="paragraph" w:customStyle="1" w:styleId="PartAuthors">
    <w:name w:val="Part Authors"/>
    <w:basedOn w:val="Partlistofarticles"/>
    <w:autoRedefine/>
    <w:qFormat/>
    <w:rsid w:val="003F6764"/>
    <w:rPr>
      <w:rFonts w:ascii="Times New Roman" w:hAnsi="Times New Roman"/>
      <w:i/>
    </w:rPr>
  </w:style>
  <w:style w:type="character" w:customStyle="1" w:styleId="Rubrik6Char">
    <w:name w:val="Rubrik 6 Char"/>
    <w:basedOn w:val="Standardstycketeckensnitt"/>
    <w:link w:val="Rubrik6"/>
    <w:uiPriority w:val="9"/>
    <w:rsid w:val="00EC46B0"/>
    <w:rPr>
      <w:rFonts w:ascii="Arial" w:eastAsiaTheme="majorEastAsia" w:hAnsi="Arial"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604836-A244-40C2-9665-469F78D8E69D}"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A851CC08-7C5C-4A2C-A734-47D5CF7E9195}">
      <dgm:prSet phldrT="[Text]" custT="1"/>
      <dgm:spPr/>
      <dgm:t>
        <a:bodyPr/>
        <a:lstStyle/>
        <a:p>
          <a:r>
            <a:rPr lang="en-US" sz="1400"/>
            <a:t>Institution</a:t>
          </a:r>
        </a:p>
      </dgm:t>
    </dgm:pt>
    <dgm:pt modelId="{0413A2EF-BC07-478B-8F20-A2EB2CD8B860}" type="parTrans" cxnId="{CAD66128-12A1-4049-B20A-6A853C5520A5}">
      <dgm:prSet/>
      <dgm:spPr/>
      <dgm:t>
        <a:bodyPr/>
        <a:lstStyle/>
        <a:p>
          <a:endParaRPr lang="en-US"/>
        </a:p>
      </dgm:t>
    </dgm:pt>
    <dgm:pt modelId="{B913B5A5-5CFA-403A-92D2-A2C72E46EBBA}" type="sibTrans" cxnId="{CAD66128-12A1-4049-B20A-6A853C5520A5}">
      <dgm:prSet/>
      <dgm:spPr/>
      <dgm:t>
        <a:bodyPr/>
        <a:lstStyle/>
        <a:p>
          <a:endParaRPr lang="en-US"/>
        </a:p>
      </dgm:t>
    </dgm:pt>
    <dgm:pt modelId="{D80A0CB5-D9CE-40D2-82FF-6F4E8F6549A1}">
      <dgm:prSet phldrT="[Text]" custT="1"/>
      <dgm:spPr/>
      <dgm:t>
        <a:bodyPr/>
        <a:lstStyle/>
        <a:p>
          <a:r>
            <a:rPr lang="en-US" sz="1400"/>
            <a:t>Action</a:t>
          </a:r>
        </a:p>
      </dgm:t>
    </dgm:pt>
    <dgm:pt modelId="{B6D4B455-2F3F-4171-B654-CE214066967E}" type="parTrans" cxnId="{933E1671-B13D-485F-B92D-CC96F319ECB5}">
      <dgm:prSet/>
      <dgm:spPr/>
      <dgm:t>
        <a:bodyPr/>
        <a:lstStyle/>
        <a:p>
          <a:endParaRPr lang="en-US"/>
        </a:p>
      </dgm:t>
    </dgm:pt>
    <dgm:pt modelId="{45848B9A-F0B9-41EF-8C67-9ABCD6F38347}" type="sibTrans" cxnId="{933E1671-B13D-485F-B92D-CC96F319ECB5}">
      <dgm:prSet/>
      <dgm:spPr/>
      <dgm:t>
        <a:bodyPr/>
        <a:lstStyle/>
        <a:p>
          <a:endParaRPr lang="en-US"/>
        </a:p>
      </dgm:t>
    </dgm:pt>
    <dgm:pt modelId="{7B46122B-AD3A-4C04-BD54-CD3F29BFC6CC}" type="pres">
      <dgm:prSet presAssocID="{FF604836-A244-40C2-9665-469F78D8E69D}" presName="cycle" presStyleCnt="0">
        <dgm:presLayoutVars>
          <dgm:dir/>
          <dgm:resizeHandles val="exact"/>
        </dgm:presLayoutVars>
      </dgm:prSet>
      <dgm:spPr/>
    </dgm:pt>
    <dgm:pt modelId="{7F5DB0D2-5F1E-4ADE-9A2B-FB9436A83B90}" type="pres">
      <dgm:prSet presAssocID="{A851CC08-7C5C-4A2C-A734-47D5CF7E9195}" presName="node" presStyleLbl="node1" presStyleIdx="0" presStyleCnt="2" custScaleX="82534" custScaleY="66453">
        <dgm:presLayoutVars>
          <dgm:bulletEnabled val="1"/>
        </dgm:presLayoutVars>
      </dgm:prSet>
      <dgm:spPr/>
    </dgm:pt>
    <dgm:pt modelId="{1471CCDC-3490-4106-A371-77395343B7EC}" type="pres">
      <dgm:prSet presAssocID="{A851CC08-7C5C-4A2C-A734-47D5CF7E9195}" presName="spNode" presStyleCnt="0"/>
      <dgm:spPr/>
    </dgm:pt>
    <dgm:pt modelId="{0E1A7EA2-93B7-46DA-B563-F474A5A20073}" type="pres">
      <dgm:prSet presAssocID="{B913B5A5-5CFA-403A-92D2-A2C72E46EBBA}" presName="sibTrans" presStyleLbl="sibTrans1D1" presStyleIdx="0" presStyleCnt="2"/>
      <dgm:spPr/>
    </dgm:pt>
    <dgm:pt modelId="{E19204BB-F67C-433D-921E-FFFB33B8EC5C}" type="pres">
      <dgm:prSet presAssocID="{D80A0CB5-D9CE-40D2-82FF-6F4E8F6549A1}" presName="node" presStyleLbl="node1" presStyleIdx="1" presStyleCnt="2" custScaleX="76712" custScaleY="68914">
        <dgm:presLayoutVars>
          <dgm:bulletEnabled val="1"/>
        </dgm:presLayoutVars>
      </dgm:prSet>
      <dgm:spPr/>
    </dgm:pt>
    <dgm:pt modelId="{2291AECD-A98B-4207-A1D4-CE0F3653382F}" type="pres">
      <dgm:prSet presAssocID="{D80A0CB5-D9CE-40D2-82FF-6F4E8F6549A1}" presName="spNode" presStyleCnt="0"/>
      <dgm:spPr/>
    </dgm:pt>
    <dgm:pt modelId="{9014CF74-CFE7-4D0A-BD82-C8F0F4E68BAC}" type="pres">
      <dgm:prSet presAssocID="{45848B9A-F0B9-41EF-8C67-9ABCD6F38347}" presName="sibTrans" presStyleLbl="sibTrans1D1" presStyleIdx="1" presStyleCnt="2"/>
      <dgm:spPr/>
    </dgm:pt>
  </dgm:ptLst>
  <dgm:cxnLst>
    <dgm:cxn modelId="{CAD66128-12A1-4049-B20A-6A853C5520A5}" srcId="{FF604836-A244-40C2-9665-469F78D8E69D}" destId="{A851CC08-7C5C-4A2C-A734-47D5CF7E9195}" srcOrd="0" destOrd="0" parTransId="{0413A2EF-BC07-478B-8F20-A2EB2CD8B860}" sibTransId="{B913B5A5-5CFA-403A-92D2-A2C72E46EBBA}"/>
    <dgm:cxn modelId="{AE7DE035-9B4B-43FB-893C-385954E06CEA}" type="presOf" srcId="{45848B9A-F0B9-41EF-8C67-9ABCD6F38347}" destId="{9014CF74-CFE7-4D0A-BD82-C8F0F4E68BAC}" srcOrd="0" destOrd="0" presId="urn:microsoft.com/office/officeart/2005/8/layout/cycle5"/>
    <dgm:cxn modelId="{AB0A083D-F4B1-4395-97BE-BE740A781B11}" type="presOf" srcId="{FF604836-A244-40C2-9665-469F78D8E69D}" destId="{7B46122B-AD3A-4C04-BD54-CD3F29BFC6CC}" srcOrd="0" destOrd="0" presId="urn:microsoft.com/office/officeart/2005/8/layout/cycle5"/>
    <dgm:cxn modelId="{53525442-F1F1-4683-84DD-C6F8C43273F7}" type="presOf" srcId="{D80A0CB5-D9CE-40D2-82FF-6F4E8F6549A1}" destId="{E19204BB-F67C-433D-921E-FFFB33B8EC5C}" srcOrd="0" destOrd="0" presId="urn:microsoft.com/office/officeart/2005/8/layout/cycle5"/>
    <dgm:cxn modelId="{933E1671-B13D-485F-B92D-CC96F319ECB5}" srcId="{FF604836-A244-40C2-9665-469F78D8E69D}" destId="{D80A0CB5-D9CE-40D2-82FF-6F4E8F6549A1}" srcOrd="1" destOrd="0" parTransId="{B6D4B455-2F3F-4171-B654-CE214066967E}" sibTransId="{45848B9A-F0B9-41EF-8C67-9ABCD6F38347}"/>
    <dgm:cxn modelId="{F92DD894-9258-4BC3-A83D-F3316EEDF962}" type="presOf" srcId="{A851CC08-7C5C-4A2C-A734-47D5CF7E9195}" destId="{7F5DB0D2-5F1E-4ADE-9A2B-FB9436A83B90}" srcOrd="0" destOrd="0" presId="urn:microsoft.com/office/officeart/2005/8/layout/cycle5"/>
    <dgm:cxn modelId="{BEE35CB2-AFC8-4C9B-AB4C-32EB1A6F6030}" type="presOf" srcId="{B913B5A5-5CFA-403A-92D2-A2C72E46EBBA}" destId="{0E1A7EA2-93B7-46DA-B563-F474A5A20073}" srcOrd="0" destOrd="0" presId="urn:microsoft.com/office/officeart/2005/8/layout/cycle5"/>
    <dgm:cxn modelId="{FB377BC9-178E-43AF-8252-DC2ED7645015}" type="presParOf" srcId="{7B46122B-AD3A-4C04-BD54-CD3F29BFC6CC}" destId="{7F5DB0D2-5F1E-4ADE-9A2B-FB9436A83B90}" srcOrd="0" destOrd="0" presId="urn:microsoft.com/office/officeart/2005/8/layout/cycle5"/>
    <dgm:cxn modelId="{C5A15F75-D173-4056-B907-0682555A9ECA}" type="presParOf" srcId="{7B46122B-AD3A-4C04-BD54-CD3F29BFC6CC}" destId="{1471CCDC-3490-4106-A371-77395343B7EC}" srcOrd="1" destOrd="0" presId="urn:microsoft.com/office/officeart/2005/8/layout/cycle5"/>
    <dgm:cxn modelId="{F7DE53B1-9175-4392-B902-28A33A3D5A20}" type="presParOf" srcId="{7B46122B-AD3A-4C04-BD54-CD3F29BFC6CC}" destId="{0E1A7EA2-93B7-46DA-B563-F474A5A20073}" srcOrd="2" destOrd="0" presId="urn:microsoft.com/office/officeart/2005/8/layout/cycle5"/>
    <dgm:cxn modelId="{B91BF8BE-13B1-47A8-9462-7DE5910183C9}" type="presParOf" srcId="{7B46122B-AD3A-4C04-BD54-CD3F29BFC6CC}" destId="{E19204BB-F67C-433D-921E-FFFB33B8EC5C}" srcOrd="3" destOrd="0" presId="urn:microsoft.com/office/officeart/2005/8/layout/cycle5"/>
    <dgm:cxn modelId="{0A2B49BA-BAA0-47A2-98D8-63B225654862}" type="presParOf" srcId="{7B46122B-AD3A-4C04-BD54-CD3F29BFC6CC}" destId="{2291AECD-A98B-4207-A1D4-CE0F3653382F}" srcOrd="4" destOrd="0" presId="urn:microsoft.com/office/officeart/2005/8/layout/cycle5"/>
    <dgm:cxn modelId="{A454D3D7-EE88-45BD-920C-B7F4DB30BB3A}" type="presParOf" srcId="{7B46122B-AD3A-4C04-BD54-CD3F29BFC6CC}" destId="{9014CF74-CFE7-4D0A-BD82-C8F0F4E68BAC}" srcOrd="5" destOrd="0" presId="urn:microsoft.com/office/officeart/2005/8/layout/cycle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5DB0D2-5F1E-4ADE-9A2B-FB9436A83B90}">
      <dsp:nvSpPr>
        <dsp:cNvPr id="0" name=""/>
        <dsp:cNvSpPr/>
      </dsp:nvSpPr>
      <dsp:spPr>
        <a:xfrm>
          <a:off x="865158" y="576488"/>
          <a:ext cx="1044086" cy="54642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Institution</a:t>
          </a:r>
        </a:p>
      </dsp:txBody>
      <dsp:txXfrm>
        <a:off x="891832" y="603162"/>
        <a:ext cx="990738" cy="493078"/>
      </dsp:txXfrm>
    </dsp:sp>
    <dsp:sp modelId="{0E1A7EA2-93B7-46DA-B563-F474A5A20073}">
      <dsp:nvSpPr>
        <dsp:cNvPr id="0" name=""/>
        <dsp:cNvSpPr/>
      </dsp:nvSpPr>
      <dsp:spPr>
        <a:xfrm>
          <a:off x="1387201" y="152464"/>
          <a:ext cx="1394475" cy="1394475"/>
        </a:xfrm>
        <a:custGeom>
          <a:avLst/>
          <a:gdLst/>
          <a:ahLst/>
          <a:cxnLst/>
          <a:rect l="0" t="0" r="0" b="0"/>
          <a:pathLst>
            <a:path>
              <a:moveTo>
                <a:pt x="196393" y="212165"/>
              </a:moveTo>
              <a:arcTo wR="697237" hR="697237" stAng="13445009" swAng="545557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19204BB-F67C-433D-921E-FFFB33B8EC5C}">
      <dsp:nvSpPr>
        <dsp:cNvPr id="0" name=""/>
        <dsp:cNvSpPr/>
      </dsp:nvSpPr>
      <dsp:spPr>
        <a:xfrm>
          <a:off x="2296459" y="566370"/>
          <a:ext cx="970435" cy="56666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Action</a:t>
          </a:r>
        </a:p>
      </dsp:txBody>
      <dsp:txXfrm>
        <a:off x="2324121" y="594032"/>
        <a:ext cx="915111" cy="511338"/>
      </dsp:txXfrm>
    </dsp:sp>
    <dsp:sp modelId="{9014CF74-CFE7-4D0A-BD82-C8F0F4E68BAC}">
      <dsp:nvSpPr>
        <dsp:cNvPr id="0" name=""/>
        <dsp:cNvSpPr/>
      </dsp:nvSpPr>
      <dsp:spPr>
        <a:xfrm>
          <a:off x="1387201" y="152464"/>
          <a:ext cx="1394475" cy="1394475"/>
        </a:xfrm>
        <a:custGeom>
          <a:avLst/>
          <a:gdLst/>
          <a:ahLst/>
          <a:cxnLst/>
          <a:rect l="0" t="0" r="0" b="0"/>
          <a:pathLst>
            <a:path>
              <a:moveTo>
                <a:pt x="1190342" y="1190175"/>
              </a:moveTo>
              <a:arcTo wR="697237" hR="697237" stAng="2699418" swAng="545557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commended Fonts">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A81D9-CC34-4A16-B07B-2F3D8AC30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1727</Words>
  <Characters>9155</Characters>
  <Application>Microsoft Office Word</Application>
  <DocSecurity>0</DocSecurity>
  <Lines>76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2019-09-27T05:52:00Z</dcterms:created>
  <dcterms:modified xsi:type="dcterms:W3CDTF">2019-10-03T06:46:00Z</dcterms:modified>
</cp:coreProperties>
</file>